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7F" w:rsidRDefault="009F12B2" w:rsidP="009F12B2">
      <w:pPr>
        <w:jc w:val="center"/>
        <w:rPr>
          <w:b/>
          <w:sz w:val="28"/>
          <w:lang w:val="es-ES"/>
        </w:rPr>
      </w:pPr>
      <w:bookmarkStart w:id="0" w:name="_GoBack"/>
      <w:bookmarkEnd w:id="0"/>
      <w:r w:rsidRPr="009F12B2">
        <w:rPr>
          <w:b/>
          <w:sz w:val="28"/>
          <w:lang w:val="es-ES"/>
        </w:rPr>
        <w:t>TRIGO 2017/18</w:t>
      </w:r>
    </w:p>
    <w:p w:rsidR="00011CA3" w:rsidRDefault="00011CA3" w:rsidP="000B7BB8">
      <w:pPr>
        <w:spacing w:after="0" w:line="360" w:lineRule="auto"/>
        <w:jc w:val="both"/>
        <w:rPr>
          <w:rFonts w:ascii="Calibri" w:hAnsi="Calibri"/>
          <w:bCs/>
          <w:iCs/>
          <w:sz w:val="20"/>
        </w:rPr>
      </w:pPr>
    </w:p>
    <w:p w:rsidR="00011CA3" w:rsidRDefault="00562A3D" w:rsidP="000B7BB8">
      <w:pPr>
        <w:spacing w:after="0" w:line="360" w:lineRule="auto"/>
        <w:jc w:val="both"/>
        <w:rPr>
          <w:rFonts w:ascii="Calibri" w:hAnsi="Calibri"/>
          <w:b/>
          <w:bCs/>
          <w:i/>
          <w:iCs/>
          <w:sz w:val="24"/>
        </w:rPr>
      </w:pPr>
      <w:r w:rsidRPr="00562A3D">
        <w:rPr>
          <w:rFonts w:ascii="Calibri" w:hAnsi="Calibri"/>
          <w:b/>
          <w:bCs/>
          <w:i/>
          <w:iCs/>
          <w:sz w:val="24"/>
        </w:rPr>
        <w:t>Estado de humedad del suelo en la pampa húmeda</w:t>
      </w:r>
    </w:p>
    <w:p w:rsidR="00891A21" w:rsidRPr="00891A21" w:rsidRDefault="00891A21" w:rsidP="000B7BB8">
      <w:pPr>
        <w:spacing w:after="0" w:line="360" w:lineRule="auto"/>
        <w:jc w:val="both"/>
        <w:rPr>
          <w:rFonts w:ascii="Calibri" w:hAnsi="Calibri"/>
          <w:bCs/>
          <w:iCs/>
          <w:sz w:val="20"/>
        </w:rPr>
      </w:pPr>
      <w:r w:rsidRPr="00891A21">
        <w:rPr>
          <w:rFonts w:ascii="Calibri" w:hAnsi="Calibri"/>
          <w:bCs/>
          <w:iCs/>
          <w:sz w:val="20"/>
        </w:rPr>
        <w:t>Dentro de un par de meses, comenzará la campaña fina 2017/18, y una de las variables más relevantes a tener en cuenta es el estado de humedad del suelo. De acuerdo al Servicio Meteorológico Nacional</w:t>
      </w:r>
      <w:r>
        <w:rPr>
          <w:rFonts w:ascii="Calibri" w:hAnsi="Calibri"/>
          <w:bCs/>
          <w:iCs/>
          <w:sz w:val="20"/>
        </w:rPr>
        <w:t>,</w:t>
      </w:r>
      <w:r w:rsidR="00EE5EE3">
        <w:rPr>
          <w:rFonts w:ascii="Calibri" w:hAnsi="Calibri"/>
          <w:bCs/>
          <w:iCs/>
          <w:sz w:val="20"/>
        </w:rPr>
        <w:t xml:space="preserve"> al 10 de abril</w:t>
      </w:r>
      <w:r>
        <w:rPr>
          <w:rFonts w:ascii="Calibri" w:hAnsi="Calibri"/>
          <w:bCs/>
          <w:iCs/>
          <w:sz w:val="20"/>
        </w:rPr>
        <w:t xml:space="preserve"> </w:t>
      </w:r>
      <w:r w:rsidR="00EE5EE3">
        <w:rPr>
          <w:rFonts w:ascii="Calibri" w:hAnsi="Calibri"/>
          <w:bCs/>
          <w:iCs/>
          <w:sz w:val="20"/>
        </w:rPr>
        <w:t xml:space="preserve">del corriente año </w:t>
      </w:r>
      <w:r>
        <w:rPr>
          <w:rFonts w:ascii="Calibri" w:hAnsi="Calibri"/>
          <w:bCs/>
          <w:iCs/>
          <w:sz w:val="20"/>
        </w:rPr>
        <w:t>la reserva de agua útil en el suelo</w:t>
      </w:r>
      <w:r w:rsidR="00CD6452">
        <w:rPr>
          <w:rFonts w:ascii="Calibri" w:hAnsi="Calibri"/>
          <w:bCs/>
          <w:iCs/>
          <w:sz w:val="20"/>
        </w:rPr>
        <w:t xml:space="preserve"> es más baja en los departamentos del norte de la provincia</w:t>
      </w:r>
      <w:r w:rsidR="00EE5EE3">
        <w:rPr>
          <w:rFonts w:ascii="Calibri" w:hAnsi="Calibri"/>
          <w:bCs/>
          <w:iCs/>
          <w:sz w:val="20"/>
        </w:rPr>
        <w:t xml:space="preserve"> a igual fecha del año anterior</w:t>
      </w:r>
      <w:r w:rsidR="00CD6452">
        <w:rPr>
          <w:rFonts w:ascii="Calibri" w:hAnsi="Calibri"/>
          <w:bCs/>
          <w:iCs/>
          <w:sz w:val="20"/>
        </w:rPr>
        <w:t xml:space="preserve">, mientras que en el sudeste </w:t>
      </w:r>
      <w:r w:rsidR="00EE5EE3">
        <w:rPr>
          <w:rFonts w:ascii="Calibri" w:hAnsi="Calibri"/>
          <w:bCs/>
          <w:iCs/>
          <w:sz w:val="20"/>
        </w:rPr>
        <w:t>las reservas son más abundantes y hasta en algunos casos se presentan problemas de anegamiento.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C7467" w:rsidTr="00562A3D">
        <w:tc>
          <w:tcPr>
            <w:tcW w:w="4489" w:type="dxa"/>
          </w:tcPr>
          <w:p w:rsidR="00EC7467" w:rsidRDefault="00CD6452" w:rsidP="000B7BB8">
            <w:pPr>
              <w:spacing w:line="360" w:lineRule="auto"/>
              <w:jc w:val="both"/>
              <w:rPr>
                <w:bCs/>
                <w:iCs/>
              </w:rPr>
            </w:pPr>
            <w:r>
              <w:rPr>
                <w:rFonts w:asciiTheme="minorHAnsi" w:eastAsiaTheme="minorHAnsi" w:hAnsiTheme="minorHAnsi" w:cstheme="minorBidi"/>
                <w:sz w:val="22"/>
                <w:szCs w:val="22"/>
                <w:lang w:eastAsia="en-US"/>
              </w:rPr>
              <w:object w:dxaOrig="6180" w:dyaOrig="6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pt;height:225.5pt" o:ole="">
                  <v:imagedata r:id="rId5" o:title=""/>
                </v:shape>
                <o:OLEObject Type="Embed" ProgID="PBrush" ShapeID="_x0000_i1025" DrawAspect="Content" ObjectID="_1554530551" r:id="rId6"/>
              </w:object>
            </w:r>
          </w:p>
        </w:tc>
        <w:tc>
          <w:tcPr>
            <w:tcW w:w="4489" w:type="dxa"/>
          </w:tcPr>
          <w:p w:rsidR="00EC7467" w:rsidRDefault="00CD6452" w:rsidP="000B7BB8">
            <w:pPr>
              <w:spacing w:line="360" w:lineRule="auto"/>
              <w:jc w:val="both"/>
              <w:rPr>
                <w:bCs/>
                <w:iCs/>
              </w:rPr>
            </w:pPr>
            <w:r>
              <w:rPr>
                <w:rFonts w:asciiTheme="minorHAnsi" w:eastAsiaTheme="minorHAnsi" w:hAnsiTheme="minorHAnsi" w:cstheme="minorBidi"/>
                <w:sz w:val="22"/>
                <w:szCs w:val="22"/>
                <w:lang w:eastAsia="en-US"/>
              </w:rPr>
              <w:object w:dxaOrig="6090" w:dyaOrig="6645">
                <v:shape id="_x0000_i1026" type="#_x0000_t75" style="width:213.3pt;height:232.3pt" o:ole="">
                  <v:imagedata r:id="rId7" o:title=""/>
                </v:shape>
                <o:OLEObject Type="Embed" ProgID="PBrush" ShapeID="_x0000_i1026" DrawAspect="Content" ObjectID="_1554530552" r:id="rId8"/>
              </w:object>
            </w:r>
          </w:p>
        </w:tc>
      </w:tr>
    </w:tbl>
    <w:p w:rsidR="00EC7467" w:rsidRPr="00562A3D" w:rsidRDefault="00562A3D" w:rsidP="00562A3D">
      <w:pPr>
        <w:spacing w:after="0" w:line="360" w:lineRule="auto"/>
        <w:jc w:val="center"/>
        <w:rPr>
          <w:rFonts w:ascii="Calibri" w:hAnsi="Calibri"/>
          <w:bCs/>
          <w:iCs/>
          <w:sz w:val="16"/>
        </w:rPr>
      </w:pPr>
      <w:r w:rsidRPr="00562A3D">
        <w:rPr>
          <w:rFonts w:ascii="Calibri" w:hAnsi="Calibri"/>
          <w:bCs/>
          <w:iCs/>
          <w:sz w:val="16"/>
        </w:rPr>
        <w:t>Fuente: Servicio Meteorológico Nacional</w:t>
      </w:r>
    </w:p>
    <w:p w:rsidR="00011CA3" w:rsidRDefault="00011CA3" w:rsidP="000B7BB8">
      <w:pPr>
        <w:spacing w:after="0" w:line="360" w:lineRule="auto"/>
        <w:jc w:val="both"/>
        <w:rPr>
          <w:rFonts w:ascii="Calibri" w:hAnsi="Calibri"/>
          <w:bCs/>
          <w:iCs/>
          <w:sz w:val="20"/>
        </w:rPr>
      </w:pPr>
    </w:p>
    <w:p w:rsidR="00011CA3" w:rsidRPr="00011CA3" w:rsidRDefault="00011CA3" w:rsidP="000B7BB8">
      <w:pPr>
        <w:spacing w:after="0" w:line="360" w:lineRule="auto"/>
        <w:jc w:val="both"/>
        <w:rPr>
          <w:rFonts w:ascii="Calibri" w:hAnsi="Calibri"/>
          <w:b/>
          <w:bCs/>
          <w:i/>
          <w:iCs/>
          <w:sz w:val="24"/>
        </w:rPr>
      </w:pPr>
      <w:r w:rsidRPr="00011CA3">
        <w:rPr>
          <w:rFonts w:ascii="Calibri" w:hAnsi="Calibri"/>
          <w:b/>
          <w:bCs/>
          <w:i/>
          <w:iCs/>
          <w:sz w:val="24"/>
        </w:rPr>
        <w:t>Precio</w:t>
      </w:r>
    </w:p>
    <w:p w:rsidR="000B7BB8" w:rsidRDefault="000B7BB8" w:rsidP="000B7BB8">
      <w:pPr>
        <w:spacing w:after="0" w:line="360" w:lineRule="auto"/>
        <w:jc w:val="both"/>
        <w:rPr>
          <w:rFonts w:ascii="Calibri" w:hAnsi="Calibri"/>
          <w:bCs/>
          <w:iCs/>
          <w:sz w:val="20"/>
        </w:rPr>
      </w:pPr>
      <w:r>
        <w:rPr>
          <w:rFonts w:ascii="Calibri" w:hAnsi="Calibri"/>
          <w:bCs/>
          <w:iCs/>
          <w:sz w:val="20"/>
        </w:rPr>
        <w:t xml:space="preserve">Una de las variables más importantes al momento de tomar la decisión de sembrar o no un cultivo es el precio al momento de cosecha. Para la cosecha 2017/18, el precio de trigo esperado es de USD 159 por tonelada, lo cual representa un incremento del 8% respecto al registrado para el ciclo 2016/17. </w:t>
      </w:r>
    </w:p>
    <w:p w:rsidR="000B7BB8" w:rsidRDefault="000B7BB8" w:rsidP="000B7BB8">
      <w:pPr>
        <w:spacing w:after="0" w:line="360" w:lineRule="auto"/>
        <w:jc w:val="center"/>
        <w:rPr>
          <w:rFonts w:ascii="Calibri" w:hAnsi="Calibri"/>
          <w:bCs/>
          <w:iCs/>
          <w:sz w:val="20"/>
        </w:rPr>
      </w:pPr>
      <w:r w:rsidRPr="00E97644">
        <w:rPr>
          <w:rFonts w:ascii="Calibri" w:hAnsi="Calibri"/>
          <w:bCs/>
          <w:iCs/>
          <w:noProof/>
          <w:sz w:val="20"/>
          <w:lang w:eastAsia="es-AR"/>
        </w:rPr>
        <w:lastRenderedPageBreak/>
        <w:drawing>
          <wp:inline distT="0" distB="0" distL="0" distR="0" wp14:anchorId="4E0C3340" wp14:editId="4516F28B">
            <wp:extent cx="3717985" cy="2277374"/>
            <wp:effectExtent l="0" t="0" r="0" b="889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7BB8" w:rsidRPr="004F5DA3" w:rsidRDefault="000B7BB8" w:rsidP="000B7BB8">
      <w:pPr>
        <w:spacing w:after="0" w:line="360" w:lineRule="auto"/>
        <w:jc w:val="center"/>
        <w:rPr>
          <w:rFonts w:ascii="Calibri" w:hAnsi="Calibri"/>
          <w:bCs/>
          <w:iCs/>
          <w:sz w:val="16"/>
        </w:rPr>
      </w:pPr>
      <w:r w:rsidRPr="004F5DA3">
        <w:rPr>
          <w:rFonts w:ascii="Calibri" w:hAnsi="Calibri"/>
          <w:bCs/>
          <w:iCs/>
          <w:sz w:val="16"/>
        </w:rPr>
        <w:t xml:space="preserve">Fuente: </w:t>
      </w:r>
      <w:r>
        <w:rPr>
          <w:rFonts w:ascii="Calibri" w:hAnsi="Calibri"/>
          <w:bCs/>
          <w:iCs/>
          <w:sz w:val="16"/>
        </w:rPr>
        <w:t xml:space="preserve">DIA en base a datos de </w:t>
      </w:r>
      <w:proofErr w:type="spellStart"/>
      <w:r>
        <w:rPr>
          <w:rFonts w:ascii="Calibri" w:hAnsi="Calibri"/>
          <w:bCs/>
          <w:iCs/>
          <w:sz w:val="16"/>
        </w:rPr>
        <w:t>MATba</w:t>
      </w:r>
      <w:proofErr w:type="spellEnd"/>
    </w:p>
    <w:p w:rsidR="00F35F64" w:rsidRDefault="00F35F64" w:rsidP="00F35F64">
      <w:pPr>
        <w:spacing w:after="0" w:line="360" w:lineRule="auto"/>
        <w:jc w:val="both"/>
        <w:rPr>
          <w:rFonts w:ascii="Calibri" w:hAnsi="Calibri"/>
          <w:b/>
          <w:bCs/>
          <w:i/>
          <w:iCs/>
          <w:sz w:val="24"/>
        </w:rPr>
      </w:pPr>
      <w:r w:rsidRPr="00F35F64">
        <w:rPr>
          <w:rFonts w:ascii="Calibri" w:hAnsi="Calibri"/>
          <w:b/>
          <w:bCs/>
          <w:i/>
          <w:iCs/>
          <w:sz w:val="24"/>
        </w:rPr>
        <w:t>Costo de producción</w:t>
      </w:r>
    </w:p>
    <w:p w:rsidR="00F35F64" w:rsidRPr="00F35F64" w:rsidRDefault="00F35F64" w:rsidP="00F35F64">
      <w:pPr>
        <w:spacing w:after="0" w:line="360" w:lineRule="auto"/>
        <w:jc w:val="both"/>
        <w:rPr>
          <w:rFonts w:ascii="Calibri" w:hAnsi="Calibri"/>
          <w:bCs/>
          <w:iCs/>
          <w:sz w:val="20"/>
        </w:rPr>
      </w:pPr>
      <w:r w:rsidRPr="00F35F64">
        <w:rPr>
          <w:rFonts w:ascii="Calibri" w:hAnsi="Calibri"/>
          <w:bCs/>
          <w:iCs/>
          <w:sz w:val="20"/>
        </w:rPr>
        <w:t>El costo de producir una hectárea de trigo</w:t>
      </w:r>
      <w:r w:rsidR="00026FE7">
        <w:rPr>
          <w:rFonts w:ascii="Calibri" w:hAnsi="Calibri"/>
          <w:bCs/>
          <w:iCs/>
          <w:sz w:val="20"/>
        </w:rPr>
        <w:t xml:space="preserve"> en Córdoba en</w:t>
      </w:r>
      <w:r w:rsidRPr="00F35F64">
        <w:rPr>
          <w:rFonts w:ascii="Calibri" w:hAnsi="Calibri"/>
          <w:bCs/>
          <w:iCs/>
          <w:sz w:val="20"/>
        </w:rPr>
        <w:t xml:space="preserve"> la campaña 2017/18 ser</w:t>
      </w:r>
      <w:r w:rsidR="00026FE7">
        <w:rPr>
          <w:rFonts w:ascii="Calibri" w:hAnsi="Calibri"/>
          <w:bCs/>
          <w:iCs/>
          <w:sz w:val="20"/>
        </w:rPr>
        <w:t>á</w:t>
      </w:r>
      <w:r w:rsidRPr="00F35F64">
        <w:rPr>
          <w:rFonts w:ascii="Calibri" w:hAnsi="Calibri"/>
          <w:bCs/>
          <w:iCs/>
          <w:sz w:val="20"/>
        </w:rPr>
        <w:t xml:space="preserve"> de USD 298, lo cual representa un incremento de USD 6 respecto a la campaña anterior. A nivel departamental, </w:t>
      </w:r>
      <w:r w:rsidR="00026FE7">
        <w:rPr>
          <w:rFonts w:ascii="Calibri" w:hAnsi="Calibri"/>
          <w:bCs/>
          <w:iCs/>
          <w:sz w:val="20"/>
        </w:rPr>
        <w:t>el costo puede variar</w:t>
      </w:r>
      <w:r w:rsidRPr="00F35F64">
        <w:rPr>
          <w:rFonts w:ascii="Calibri" w:hAnsi="Calibri"/>
          <w:bCs/>
          <w:iCs/>
          <w:sz w:val="20"/>
        </w:rPr>
        <w:t xml:space="preserve"> de acuerdo al paquete tecnológico que se aplique en relación a la calidad de los suelos, la incidencia de plagas y las perspectivas meteorológicas. Por ejemplo, un productor de Marcos Juárez</w:t>
      </w:r>
      <w:r w:rsidR="007E0FF9">
        <w:rPr>
          <w:rFonts w:ascii="Calibri" w:hAnsi="Calibri"/>
          <w:bCs/>
          <w:iCs/>
          <w:sz w:val="20"/>
        </w:rPr>
        <w:t>, teniendo en cuenta</w:t>
      </w:r>
      <w:r w:rsidRPr="00F35F64">
        <w:rPr>
          <w:rFonts w:ascii="Calibri" w:hAnsi="Calibri"/>
          <w:bCs/>
          <w:iCs/>
          <w:sz w:val="20"/>
        </w:rPr>
        <w:t xml:space="preserve"> un planteo técnico promedio</w:t>
      </w:r>
      <w:r w:rsidR="007E0FF9">
        <w:rPr>
          <w:rFonts w:ascii="Calibri" w:hAnsi="Calibri"/>
          <w:bCs/>
          <w:iCs/>
          <w:sz w:val="20"/>
        </w:rPr>
        <w:t>,</w:t>
      </w:r>
      <w:r w:rsidRPr="00F35F64">
        <w:rPr>
          <w:rFonts w:ascii="Calibri" w:hAnsi="Calibri"/>
          <w:bCs/>
          <w:iCs/>
          <w:sz w:val="20"/>
        </w:rPr>
        <w:t xml:space="preserve"> gastará USD 320 por hectárea, mientras que un productor de Totoral erogará USD 279/ha.</w:t>
      </w:r>
    </w:p>
    <w:p w:rsidR="00F35F64" w:rsidRPr="00F35F64" w:rsidRDefault="007E0FF9" w:rsidP="00F35F64">
      <w:pPr>
        <w:spacing w:after="0" w:line="360" w:lineRule="auto"/>
        <w:jc w:val="both"/>
        <w:rPr>
          <w:rFonts w:ascii="Calibri" w:hAnsi="Calibri"/>
          <w:bCs/>
          <w:iCs/>
          <w:sz w:val="20"/>
        </w:rPr>
      </w:pPr>
      <w:r>
        <w:rPr>
          <w:rFonts w:ascii="Calibri" w:hAnsi="Calibri"/>
          <w:bCs/>
          <w:iCs/>
          <w:sz w:val="20"/>
        </w:rPr>
        <w:t>Respecto a los</w:t>
      </w:r>
      <w:r w:rsidR="00F35F64" w:rsidRPr="00F35F64">
        <w:rPr>
          <w:rFonts w:ascii="Calibri" w:hAnsi="Calibri"/>
          <w:bCs/>
          <w:iCs/>
          <w:sz w:val="20"/>
        </w:rPr>
        <w:t xml:space="preserve"> gastos de comercialización, </w:t>
      </w:r>
      <w:r>
        <w:rPr>
          <w:rFonts w:ascii="Calibri" w:hAnsi="Calibri"/>
          <w:bCs/>
          <w:iCs/>
          <w:sz w:val="20"/>
        </w:rPr>
        <w:t xml:space="preserve">se observa una caída de USD 19/ha, ya </w:t>
      </w:r>
      <w:r w:rsidR="00F35F64" w:rsidRPr="00F35F64">
        <w:rPr>
          <w:rFonts w:ascii="Calibri" w:hAnsi="Calibri"/>
          <w:bCs/>
          <w:iCs/>
          <w:sz w:val="20"/>
        </w:rPr>
        <w:t>que pasarían de USD 173/</w:t>
      </w:r>
      <w:proofErr w:type="spellStart"/>
      <w:r w:rsidR="00F35F64" w:rsidRPr="00F35F64">
        <w:rPr>
          <w:rFonts w:ascii="Calibri" w:hAnsi="Calibri"/>
          <w:bCs/>
          <w:iCs/>
          <w:sz w:val="20"/>
        </w:rPr>
        <w:t>ha</w:t>
      </w:r>
      <w:proofErr w:type="spellEnd"/>
      <w:r w:rsidR="00F35F64" w:rsidRPr="00F35F64">
        <w:rPr>
          <w:rFonts w:ascii="Calibri" w:hAnsi="Calibri"/>
          <w:bCs/>
          <w:iCs/>
          <w:sz w:val="20"/>
        </w:rPr>
        <w:t xml:space="preserve"> a USD 154/ha. Este último rubro está directamente relacionado con el volumen de producción a cosechar,</w:t>
      </w:r>
      <w:r>
        <w:rPr>
          <w:rFonts w:ascii="Calibri" w:hAnsi="Calibri"/>
          <w:bCs/>
          <w:iCs/>
          <w:sz w:val="20"/>
        </w:rPr>
        <w:t xml:space="preserve"> por lo</w:t>
      </w:r>
      <w:r w:rsidR="00F35F64" w:rsidRPr="00F35F64">
        <w:rPr>
          <w:rFonts w:ascii="Calibri" w:hAnsi="Calibri"/>
          <w:bCs/>
          <w:iCs/>
          <w:sz w:val="20"/>
        </w:rPr>
        <w:t xml:space="preserve"> que mientras mayor sea el rendimiento</w:t>
      </w:r>
      <w:r>
        <w:rPr>
          <w:rFonts w:ascii="Calibri" w:hAnsi="Calibri"/>
          <w:bCs/>
          <w:iCs/>
          <w:sz w:val="20"/>
        </w:rPr>
        <w:t>,</w:t>
      </w:r>
      <w:r w:rsidR="00F35F64" w:rsidRPr="00F35F64">
        <w:rPr>
          <w:rFonts w:ascii="Calibri" w:hAnsi="Calibri"/>
          <w:bCs/>
          <w:iCs/>
          <w:sz w:val="20"/>
        </w:rPr>
        <w:t xml:space="preserve"> mayor será el costo de transportarla, almacenarla y acondicionarla. </w:t>
      </w:r>
    </w:p>
    <w:p w:rsidR="00F35F64" w:rsidRPr="00F35F64" w:rsidRDefault="00F35F64" w:rsidP="00F35F64">
      <w:pPr>
        <w:spacing w:after="0" w:line="360" w:lineRule="auto"/>
        <w:jc w:val="both"/>
        <w:rPr>
          <w:rFonts w:ascii="Calibri" w:hAnsi="Calibri"/>
          <w:bCs/>
          <w:iCs/>
          <w:sz w:val="20"/>
        </w:rPr>
      </w:pPr>
      <w:r w:rsidRPr="00F35F64">
        <w:rPr>
          <w:rFonts w:ascii="Calibri" w:hAnsi="Calibri"/>
          <w:bCs/>
          <w:iCs/>
          <w:sz w:val="20"/>
        </w:rPr>
        <w:t xml:space="preserve">Si tomamos en cuenta ambos costos, directos y de comercialización, </w:t>
      </w:r>
      <w:r w:rsidR="007E0FF9">
        <w:rPr>
          <w:rFonts w:ascii="Calibri" w:hAnsi="Calibri"/>
          <w:bCs/>
          <w:iCs/>
          <w:sz w:val="20"/>
        </w:rPr>
        <w:t>producir y comercializar una hectárea de trigo en Córdoba tendrá un costo de USD 452/ha, lo cual representa una</w:t>
      </w:r>
      <w:r w:rsidRPr="00F35F64">
        <w:rPr>
          <w:rFonts w:ascii="Calibri" w:hAnsi="Calibri"/>
          <w:bCs/>
          <w:iCs/>
          <w:sz w:val="20"/>
        </w:rPr>
        <w:t xml:space="preserve"> caída de USD 13/ha</w:t>
      </w:r>
      <w:r w:rsidR="007E0FF9">
        <w:rPr>
          <w:rFonts w:ascii="Calibri" w:hAnsi="Calibri"/>
          <w:bCs/>
          <w:iCs/>
          <w:sz w:val="20"/>
        </w:rPr>
        <w:t>.</w:t>
      </w:r>
    </w:p>
    <w:p w:rsidR="00F35F64" w:rsidRPr="00F7398B" w:rsidRDefault="00F35F64" w:rsidP="00F35F64">
      <w:pPr>
        <w:spacing w:after="0" w:line="360" w:lineRule="auto"/>
        <w:jc w:val="both"/>
        <w:rPr>
          <w:rFonts w:ascii="Calibri" w:hAnsi="Calibri"/>
          <w:bCs/>
          <w:iCs/>
          <w:sz w:val="20"/>
          <w:highlight w:val="yellow"/>
        </w:rPr>
      </w:pPr>
    </w:p>
    <w:p w:rsidR="00F35F64" w:rsidRPr="00F35F64" w:rsidRDefault="00F35F64" w:rsidP="00F35F64">
      <w:pPr>
        <w:spacing w:after="0" w:line="360" w:lineRule="auto"/>
        <w:jc w:val="center"/>
        <w:rPr>
          <w:rFonts w:ascii="Calibri" w:hAnsi="Calibri"/>
          <w:b/>
          <w:bCs/>
          <w:iCs/>
          <w:sz w:val="20"/>
        </w:rPr>
      </w:pPr>
      <w:r w:rsidRPr="00F35F64">
        <w:rPr>
          <w:rFonts w:ascii="Calibri" w:hAnsi="Calibri"/>
          <w:b/>
          <w:bCs/>
          <w:iCs/>
          <w:sz w:val="20"/>
        </w:rPr>
        <w:t>Costos de producción en USD por hectárea</w:t>
      </w:r>
    </w:p>
    <w:p w:rsidR="00F35F64" w:rsidRPr="00F35F64" w:rsidRDefault="00F35F64" w:rsidP="00F35F64">
      <w:pPr>
        <w:spacing w:after="0" w:line="240" w:lineRule="auto"/>
        <w:jc w:val="center"/>
        <w:rPr>
          <w:rFonts w:ascii="Calibri" w:hAnsi="Calibri"/>
          <w:b/>
          <w:bCs/>
          <w:i/>
          <w:iCs/>
          <w:sz w:val="24"/>
        </w:rPr>
      </w:pPr>
      <w:r w:rsidRPr="00F35F64">
        <w:rPr>
          <w:noProof/>
          <w:lang w:eastAsia="es-AR"/>
        </w:rPr>
        <w:lastRenderedPageBreak/>
        <w:drawing>
          <wp:inline distT="0" distB="0" distL="0" distR="0" wp14:anchorId="6CC15F70" wp14:editId="517737E2">
            <wp:extent cx="4459856" cy="3466937"/>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9673" cy="3466794"/>
                    </a:xfrm>
                    <a:prstGeom prst="rect">
                      <a:avLst/>
                    </a:prstGeom>
                    <a:noFill/>
                    <a:ln>
                      <a:noFill/>
                    </a:ln>
                  </pic:spPr>
                </pic:pic>
              </a:graphicData>
            </a:graphic>
          </wp:inline>
        </w:drawing>
      </w:r>
    </w:p>
    <w:p w:rsidR="00F35F64" w:rsidRPr="008845B4" w:rsidRDefault="00F35F64" w:rsidP="00F35F64">
      <w:pPr>
        <w:spacing w:after="0" w:line="360" w:lineRule="auto"/>
        <w:jc w:val="center"/>
        <w:rPr>
          <w:rFonts w:ascii="Calibri" w:hAnsi="Calibri"/>
          <w:bCs/>
          <w:iCs/>
          <w:sz w:val="20"/>
        </w:rPr>
      </w:pPr>
      <w:r w:rsidRPr="00F35F64">
        <w:rPr>
          <w:rFonts w:ascii="Calibri" w:hAnsi="Calibri"/>
          <w:bCs/>
          <w:iCs/>
          <w:sz w:val="20"/>
        </w:rPr>
        <w:t>Fuente: DIA - BCCBA</w:t>
      </w:r>
    </w:p>
    <w:p w:rsidR="00F35F64" w:rsidRDefault="00F35F64" w:rsidP="00F35F64">
      <w:pPr>
        <w:spacing w:after="0" w:line="360" w:lineRule="auto"/>
        <w:jc w:val="both"/>
        <w:rPr>
          <w:rFonts w:ascii="Calibri" w:hAnsi="Calibri"/>
          <w:bCs/>
          <w:iCs/>
          <w:sz w:val="20"/>
        </w:rPr>
      </w:pPr>
    </w:p>
    <w:p w:rsidR="00F35F64" w:rsidRPr="007E0FF9" w:rsidRDefault="00F35F64" w:rsidP="00F35F64">
      <w:pPr>
        <w:spacing w:after="0" w:line="360" w:lineRule="auto"/>
        <w:jc w:val="both"/>
        <w:rPr>
          <w:rFonts w:ascii="Calibri" w:hAnsi="Calibri"/>
          <w:b/>
          <w:bCs/>
          <w:i/>
          <w:iCs/>
          <w:sz w:val="20"/>
        </w:rPr>
      </w:pPr>
      <w:r w:rsidRPr="00F35F64">
        <w:rPr>
          <w:rFonts w:ascii="Calibri" w:hAnsi="Calibri"/>
          <w:bCs/>
          <w:iCs/>
          <w:sz w:val="20"/>
        </w:rPr>
        <w:t>Uno de los componentes más importantes</w:t>
      </w:r>
      <w:r w:rsidR="007E0FF9">
        <w:rPr>
          <w:rFonts w:ascii="Calibri" w:hAnsi="Calibri"/>
          <w:bCs/>
          <w:iCs/>
          <w:sz w:val="20"/>
        </w:rPr>
        <w:t xml:space="preserve"> </w:t>
      </w:r>
      <w:r w:rsidRPr="00F35F64">
        <w:rPr>
          <w:rFonts w:ascii="Calibri" w:hAnsi="Calibri"/>
          <w:bCs/>
          <w:iCs/>
          <w:sz w:val="20"/>
        </w:rPr>
        <w:t xml:space="preserve">del rubro costos directos es </w:t>
      </w:r>
      <w:r w:rsidR="007E0FF9">
        <w:rPr>
          <w:rFonts w:ascii="Calibri" w:hAnsi="Calibri"/>
          <w:bCs/>
          <w:iCs/>
          <w:sz w:val="20"/>
        </w:rPr>
        <w:t>el precio de los fertilizantes, en especial si el productor apunta a hacer un grano de mayor calidad.</w:t>
      </w:r>
      <w:r>
        <w:rPr>
          <w:rFonts w:ascii="Calibri" w:hAnsi="Calibri"/>
          <w:bCs/>
          <w:iCs/>
          <w:sz w:val="20"/>
        </w:rPr>
        <w:t xml:space="preserve"> </w:t>
      </w:r>
      <w:r w:rsidR="007E0FF9">
        <w:rPr>
          <w:rFonts w:ascii="Calibri" w:hAnsi="Calibri"/>
          <w:bCs/>
          <w:iCs/>
          <w:sz w:val="20"/>
        </w:rPr>
        <w:t>L</w:t>
      </w:r>
      <w:r>
        <w:rPr>
          <w:rFonts w:ascii="Calibri" w:hAnsi="Calibri"/>
          <w:bCs/>
          <w:iCs/>
          <w:sz w:val="20"/>
        </w:rPr>
        <w:t xml:space="preserve">os valores de la urea y los fosfatos se encuentran en los niveles más bajos de los últimos cinco años, lo cual genera un incentivo a aplicar un mejor paquete tecnológico. En este sentido, </w:t>
      </w:r>
      <w:r w:rsidRPr="007E0FF9">
        <w:rPr>
          <w:rFonts w:ascii="Calibri" w:hAnsi="Calibri"/>
          <w:b/>
          <w:bCs/>
          <w:i/>
          <w:iCs/>
          <w:sz w:val="20"/>
        </w:rPr>
        <w:t>es un buen momento para aplicar una mayor cantidad de fertilizantes que permita recuperar nutrientes de los suelos y transformar el balance de negativo a equilibrado o positivo.</w:t>
      </w:r>
    </w:p>
    <w:tbl>
      <w:tblPr>
        <w:tblStyle w:val="Tablaconcuadrcula"/>
        <w:tblW w:w="936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30"/>
        <w:gridCol w:w="4939"/>
      </w:tblGrid>
      <w:tr w:rsidR="00F35F64" w:rsidTr="00A9636E">
        <w:trPr>
          <w:trHeight w:val="3559"/>
        </w:trPr>
        <w:tc>
          <w:tcPr>
            <w:tcW w:w="4430" w:type="dxa"/>
          </w:tcPr>
          <w:p w:rsidR="00F35F64" w:rsidRDefault="00F35F64" w:rsidP="00A9636E">
            <w:pPr>
              <w:spacing w:line="360" w:lineRule="auto"/>
              <w:jc w:val="both"/>
              <w:rPr>
                <w:bCs/>
                <w:iCs/>
              </w:rPr>
            </w:pPr>
            <w:r>
              <w:rPr>
                <w:noProof/>
              </w:rPr>
              <w:drawing>
                <wp:inline distT="0" distB="0" distL="0" distR="0" wp14:anchorId="30EC592F" wp14:editId="762634E4">
                  <wp:extent cx="2717320" cy="2053087"/>
                  <wp:effectExtent l="0" t="0" r="6985" b="444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939" w:type="dxa"/>
          </w:tcPr>
          <w:p w:rsidR="00F35F64" w:rsidRDefault="00F35F64" w:rsidP="00A9636E">
            <w:pPr>
              <w:spacing w:line="360" w:lineRule="auto"/>
              <w:jc w:val="both"/>
              <w:rPr>
                <w:bCs/>
                <w:iCs/>
              </w:rPr>
            </w:pPr>
            <w:r>
              <w:rPr>
                <w:noProof/>
              </w:rPr>
              <w:drawing>
                <wp:inline distT="0" distB="0" distL="0" distR="0" wp14:anchorId="32C80058" wp14:editId="3DC21100">
                  <wp:extent cx="2889849" cy="2130725"/>
                  <wp:effectExtent l="0" t="0" r="6350" b="317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F35F64" w:rsidRPr="004F5DA3" w:rsidRDefault="00F35F64" w:rsidP="00F35F64">
      <w:pPr>
        <w:spacing w:after="0" w:line="360" w:lineRule="auto"/>
        <w:jc w:val="center"/>
        <w:rPr>
          <w:rFonts w:ascii="Calibri" w:hAnsi="Calibri"/>
          <w:bCs/>
          <w:iCs/>
          <w:sz w:val="16"/>
        </w:rPr>
      </w:pPr>
      <w:r w:rsidRPr="004F5DA3">
        <w:rPr>
          <w:rFonts w:ascii="Calibri" w:hAnsi="Calibri"/>
          <w:bCs/>
          <w:iCs/>
          <w:sz w:val="16"/>
        </w:rPr>
        <w:t xml:space="preserve">Fuente: </w:t>
      </w:r>
      <w:r>
        <w:rPr>
          <w:rFonts w:ascii="Calibri" w:hAnsi="Calibri"/>
          <w:bCs/>
          <w:iCs/>
          <w:sz w:val="16"/>
        </w:rPr>
        <w:t>DIA en base a Revista Márgenes Agropecuarios</w:t>
      </w:r>
    </w:p>
    <w:p w:rsidR="00F35F64" w:rsidRDefault="00F35F64" w:rsidP="00F35F64">
      <w:pPr>
        <w:spacing w:after="0" w:line="360" w:lineRule="auto"/>
        <w:jc w:val="both"/>
        <w:rPr>
          <w:rFonts w:ascii="Calibri" w:hAnsi="Calibri"/>
          <w:bCs/>
          <w:iCs/>
          <w:sz w:val="20"/>
        </w:rPr>
      </w:pPr>
    </w:p>
    <w:p w:rsidR="00F35F64" w:rsidRDefault="00F35F64" w:rsidP="00F35F64">
      <w:pPr>
        <w:spacing w:after="0" w:line="360" w:lineRule="auto"/>
        <w:jc w:val="both"/>
        <w:rPr>
          <w:rFonts w:ascii="Calibri" w:hAnsi="Calibri"/>
          <w:bCs/>
          <w:iCs/>
          <w:sz w:val="20"/>
        </w:rPr>
      </w:pPr>
      <w:r>
        <w:rPr>
          <w:rFonts w:ascii="Calibri" w:hAnsi="Calibri"/>
          <w:bCs/>
          <w:iCs/>
          <w:sz w:val="20"/>
        </w:rPr>
        <w:lastRenderedPageBreak/>
        <w:t>Respecto a los gastos de comercialización, uno de los ítems que más relevancia ha tomado en los últimos años, es el costo del flete.  Mientras que en la campaña 2014/15 el costo del flete promedio para Córdoba representaba el 20% del precio del trigo, en la campaña actual alcanzaría el 29%. Si bien en los departamentos más cercanos al puerto, como Unión y Marcos Juárez, la incidencia sería del 23% y 19% respectivamente, en los departamentos más alejados supera el 33%. Esta variable también puede observarse como un menor precio del grano recibido en chacra. Mientras que un productor en Marcos Juárez recibiría  USD 128 por tonelada por el trigo 2017/18, un productor oriundo del departamento Río Cuarto recibiría USD 106 por tonelada.</w:t>
      </w:r>
    </w:p>
    <w:p w:rsidR="00F35F64" w:rsidRPr="004F5DA3" w:rsidRDefault="00F35F64" w:rsidP="00F35F64">
      <w:pPr>
        <w:spacing w:after="0" w:line="360" w:lineRule="auto"/>
        <w:jc w:val="center"/>
        <w:rPr>
          <w:rFonts w:ascii="Calibri" w:hAnsi="Calibri"/>
          <w:b/>
          <w:bCs/>
          <w:iCs/>
          <w:sz w:val="20"/>
        </w:rPr>
      </w:pPr>
      <w:r w:rsidRPr="004F5DA3">
        <w:rPr>
          <w:rFonts w:ascii="Calibri" w:hAnsi="Calibri"/>
          <w:b/>
          <w:bCs/>
          <w:iCs/>
          <w:sz w:val="20"/>
        </w:rPr>
        <w:t>Precio a cosecha 2017/18 neto de flete</w:t>
      </w:r>
    </w:p>
    <w:p w:rsidR="00F35F64" w:rsidRPr="004F5DA3" w:rsidRDefault="00F35F64" w:rsidP="00F35F64">
      <w:pPr>
        <w:spacing w:after="0" w:line="360" w:lineRule="auto"/>
        <w:jc w:val="center"/>
        <w:rPr>
          <w:rFonts w:ascii="Calibri" w:hAnsi="Calibri"/>
          <w:b/>
          <w:bCs/>
          <w:iCs/>
          <w:sz w:val="20"/>
        </w:rPr>
      </w:pPr>
      <w:r w:rsidRPr="004F5DA3">
        <w:rPr>
          <w:rFonts w:ascii="Calibri" w:hAnsi="Calibri"/>
          <w:b/>
          <w:bCs/>
          <w:iCs/>
          <w:sz w:val="20"/>
        </w:rPr>
        <w:t>USD/</w:t>
      </w:r>
      <w:proofErr w:type="spellStart"/>
      <w:r w:rsidRPr="004F5DA3">
        <w:rPr>
          <w:rFonts w:ascii="Calibri" w:hAnsi="Calibri"/>
          <w:b/>
          <w:bCs/>
          <w:iCs/>
          <w:sz w:val="20"/>
        </w:rPr>
        <w:t>tn</w:t>
      </w:r>
      <w:proofErr w:type="spellEnd"/>
    </w:p>
    <w:p w:rsidR="00F35F64" w:rsidRDefault="00F35F64" w:rsidP="00F35F64">
      <w:pPr>
        <w:spacing w:after="0" w:line="360" w:lineRule="auto"/>
        <w:jc w:val="center"/>
        <w:rPr>
          <w:rFonts w:ascii="Calibri" w:hAnsi="Calibri"/>
          <w:bCs/>
          <w:iCs/>
          <w:sz w:val="20"/>
        </w:rPr>
      </w:pPr>
      <w:r w:rsidRPr="004F5DA3">
        <w:rPr>
          <w:rFonts w:ascii="Calibri" w:hAnsi="Calibri"/>
          <w:bCs/>
          <w:iCs/>
          <w:noProof/>
          <w:sz w:val="20"/>
          <w:lang w:eastAsia="es-AR"/>
        </w:rPr>
        <w:drawing>
          <wp:inline distT="0" distB="0" distL="0" distR="0" wp14:anchorId="59130F74" wp14:editId="4B44C8E8">
            <wp:extent cx="2803192" cy="3627661"/>
            <wp:effectExtent l="0" t="0" r="0" b="0"/>
            <wp:docPr id="7" name="3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3 Marcador de contenido"/>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7542" cy="3633290"/>
                    </a:xfrm>
                    <a:prstGeom prst="rect">
                      <a:avLst/>
                    </a:prstGeom>
                  </pic:spPr>
                </pic:pic>
              </a:graphicData>
            </a:graphic>
          </wp:inline>
        </w:drawing>
      </w:r>
    </w:p>
    <w:p w:rsidR="00F35F64" w:rsidRPr="004F5DA3" w:rsidRDefault="00F35F64" w:rsidP="00F35F64">
      <w:pPr>
        <w:spacing w:after="0" w:line="360" w:lineRule="auto"/>
        <w:jc w:val="center"/>
        <w:rPr>
          <w:rFonts w:ascii="Calibri" w:hAnsi="Calibri"/>
          <w:bCs/>
          <w:iCs/>
          <w:sz w:val="16"/>
        </w:rPr>
      </w:pPr>
      <w:r w:rsidRPr="004F5DA3">
        <w:rPr>
          <w:rFonts w:ascii="Calibri" w:hAnsi="Calibri"/>
          <w:bCs/>
          <w:iCs/>
          <w:sz w:val="16"/>
        </w:rPr>
        <w:t>Fuente: DIA - BCCBA</w:t>
      </w:r>
    </w:p>
    <w:p w:rsidR="00F35F64" w:rsidRDefault="00F35F64" w:rsidP="000B7BB8">
      <w:pPr>
        <w:spacing w:after="0" w:line="360" w:lineRule="auto"/>
        <w:jc w:val="both"/>
        <w:rPr>
          <w:rFonts w:ascii="Calibri" w:hAnsi="Calibri"/>
          <w:bCs/>
          <w:iCs/>
          <w:sz w:val="20"/>
        </w:rPr>
      </w:pPr>
    </w:p>
    <w:p w:rsidR="00011CA3" w:rsidRPr="00011CA3" w:rsidRDefault="00F35F64" w:rsidP="000B7BB8">
      <w:pPr>
        <w:spacing w:after="0" w:line="360" w:lineRule="auto"/>
        <w:jc w:val="both"/>
        <w:rPr>
          <w:rFonts w:ascii="Calibri" w:hAnsi="Calibri"/>
          <w:b/>
          <w:bCs/>
          <w:i/>
          <w:iCs/>
          <w:sz w:val="24"/>
        </w:rPr>
      </w:pPr>
      <w:r>
        <w:rPr>
          <w:rFonts w:ascii="Calibri" w:hAnsi="Calibri"/>
          <w:b/>
          <w:bCs/>
          <w:i/>
          <w:iCs/>
          <w:sz w:val="24"/>
        </w:rPr>
        <w:t>Relación insumo-producto</w:t>
      </w:r>
    </w:p>
    <w:p w:rsidR="000B7BB8" w:rsidRDefault="000B7BB8" w:rsidP="000B7BB8">
      <w:pPr>
        <w:spacing w:after="0" w:line="360" w:lineRule="auto"/>
        <w:jc w:val="both"/>
        <w:rPr>
          <w:rFonts w:ascii="Calibri" w:hAnsi="Calibri"/>
          <w:bCs/>
          <w:iCs/>
          <w:sz w:val="20"/>
        </w:rPr>
      </w:pPr>
      <w:r>
        <w:rPr>
          <w:rFonts w:ascii="Calibri" w:hAnsi="Calibri"/>
          <w:bCs/>
          <w:iCs/>
          <w:sz w:val="20"/>
        </w:rPr>
        <w:t xml:space="preserve">Analizando la relación insumo producto para trigo al mes de marzo de 2017, es favorable para todos los principales insumos comparando con igual mes de 2016. De esta manera, principalmente para fertilizantes, no sólo cayeron los costos en dólares sino que mejoró el poder adquisitivo del grano por un incremento interanual en su precio del 22%.   </w:t>
      </w:r>
    </w:p>
    <w:p w:rsidR="000B7BB8" w:rsidRDefault="000B7BB8" w:rsidP="000B7BB8">
      <w:pPr>
        <w:spacing w:after="0" w:line="360" w:lineRule="auto"/>
        <w:jc w:val="center"/>
        <w:rPr>
          <w:rFonts w:ascii="Calibri" w:hAnsi="Calibri"/>
          <w:bCs/>
          <w:iCs/>
          <w:sz w:val="20"/>
        </w:rPr>
      </w:pPr>
      <w:r>
        <w:rPr>
          <w:noProof/>
          <w:lang w:eastAsia="es-AR"/>
        </w:rPr>
        <w:lastRenderedPageBreak/>
        <w:drawing>
          <wp:inline distT="0" distB="0" distL="0" distR="0" wp14:anchorId="3C57DD0C" wp14:editId="11C7D92C">
            <wp:extent cx="4321834" cy="1992702"/>
            <wp:effectExtent l="0" t="0" r="2540" b="762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7BB8" w:rsidRDefault="000B7BB8" w:rsidP="000B7BB8">
      <w:pPr>
        <w:spacing w:after="0" w:line="360" w:lineRule="auto"/>
        <w:jc w:val="center"/>
        <w:rPr>
          <w:rFonts w:ascii="Calibri" w:hAnsi="Calibri"/>
          <w:bCs/>
          <w:iCs/>
          <w:sz w:val="16"/>
        </w:rPr>
      </w:pPr>
      <w:r w:rsidRPr="004F5DA3">
        <w:rPr>
          <w:rFonts w:ascii="Calibri" w:hAnsi="Calibri"/>
          <w:bCs/>
          <w:iCs/>
          <w:sz w:val="16"/>
        </w:rPr>
        <w:t xml:space="preserve">Fuente: DIA </w:t>
      </w:r>
      <w:r>
        <w:rPr>
          <w:rFonts w:ascii="Calibri" w:hAnsi="Calibri"/>
          <w:bCs/>
          <w:iCs/>
          <w:sz w:val="16"/>
        </w:rPr>
        <w:t>–</w:t>
      </w:r>
      <w:r w:rsidRPr="004F5DA3">
        <w:rPr>
          <w:rFonts w:ascii="Calibri" w:hAnsi="Calibri"/>
          <w:bCs/>
          <w:iCs/>
          <w:sz w:val="16"/>
        </w:rPr>
        <w:t xml:space="preserve"> BCCBA</w:t>
      </w:r>
    </w:p>
    <w:p w:rsidR="000B7BB8" w:rsidRDefault="000B7BB8" w:rsidP="000B7BB8">
      <w:pPr>
        <w:spacing w:after="0" w:line="360" w:lineRule="auto"/>
        <w:jc w:val="center"/>
        <w:rPr>
          <w:rFonts w:ascii="Calibri" w:hAnsi="Calibri"/>
          <w:bCs/>
          <w:iCs/>
          <w:sz w:val="16"/>
        </w:rPr>
      </w:pPr>
    </w:p>
    <w:p w:rsidR="00011CA3" w:rsidRPr="00011CA3" w:rsidRDefault="00011CA3" w:rsidP="000B7BB8">
      <w:pPr>
        <w:spacing w:after="0" w:line="360" w:lineRule="auto"/>
        <w:jc w:val="both"/>
        <w:rPr>
          <w:rFonts w:ascii="Calibri" w:hAnsi="Calibri"/>
          <w:b/>
          <w:bCs/>
          <w:i/>
          <w:iCs/>
          <w:sz w:val="24"/>
        </w:rPr>
      </w:pPr>
      <w:r w:rsidRPr="00011CA3">
        <w:rPr>
          <w:rFonts w:ascii="Calibri" w:hAnsi="Calibri"/>
          <w:b/>
          <w:bCs/>
          <w:i/>
          <w:iCs/>
          <w:sz w:val="24"/>
        </w:rPr>
        <w:t>Márgenes de trigo campaña 2017/18</w:t>
      </w:r>
    </w:p>
    <w:p w:rsidR="00D413B9" w:rsidRDefault="00011CA3" w:rsidP="00151B38">
      <w:pPr>
        <w:spacing w:after="0" w:line="360" w:lineRule="auto"/>
        <w:jc w:val="both"/>
        <w:rPr>
          <w:rFonts w:ascii="Calibri" w:hAnsi="Calibri"/>
          <w:bCs/>
          <w:iCs/>
          <w:sz w:val="20"/>
        </w:rPr>
      </w:pPr>
      <w:r>
        <w:rPr>
          <w:rFonts w:ascii="Calibri" w:hAnsi="Calibri"/>
          <w:bCs/>
          <w:iCs/>
          <w:sz w:val="20"/>
        </w:rPr>
        <w:t xml:space="preserve">Más allá del mejor precio esperado a cosecha y la relación insumo-producto favorable, los departamentos de la provincia de Córdoba presentan grandes diferencias respecto a la calidad de los suelos y principales variables meteorológicas como precipitaciones y temperaturas, por lo que los resultados van a ser diferentes de acuerdo a la zona donde se ubique el productor.  </w:t>
      </w:r>
    </w:p>
    <w:p w:rsidR="00BF65CC" w:rsidRDefault="00D413B9" w:rsidP="00151B38">
      <w:pPr>
        <w:spacing w:after="0" w:line="360" w:lineRule="auto"/>
        <w:jc w:val="both"/>
        <w:rPr>
          <w:rFonts w:ascii="Calibri" w:hAnsi="Calibri"/>
          <w:bCs/>
          <w:iCs/>
          <w:sz w:val="20"/>
        </w:rPr>
      </w:pPr>
      <w:r>
        <w:rPr>
          <w:rFonts w:ascii="Calibri" w:hAnsi="Calibri"/>
          <w:bCs/>
          <w:iCs/>
          <w:sz w:val="20"/>
        </w:rPr>
        <w:t>A modo de ejemplo, un productor en Marcos Juárez tiene un resultado esperado de USD 161/ha, mientras que productores de Calamuchita, General Roca, Totoral y Río Cuarto presentan pérdidas que alcanzan los USD 45/ha. A nivel provincial, el margen bruto promedio para sería de US</w:t>
      </w:r>
      <w:r w:rsidR="00BF65CC">
        <w:rPr>
          <w:rFonts w:ascii="Calibri" w:hAnsi="Calibri"/>
          <w:bCs/>
          <w:iCs/>
          <w:sz w:val="20"/>
        </w:rPr>
        <w:t>D 27/ha, USD 22/</w:t>
      </w:r>
      <w:proofErr w:type="spellStart"/>
      <w:r w:rsidR="00BF65CC">
        <w:rPr>
          <w:rFonts w:ascii="Calibri" w:hAnsi="Calibri"/>
          <w:bCs/>
          <w:iCs/>
          <w:sz w:val="20"/>
        </w:rPr>
        <w:t>ha</w:t>
      </w:r>
      <w:proofErr w:type="spellEnd"/>
      <w:r w:rsidR="00BF65CC">
        <w:rPr>
          <w:rFonts w:ascii="Calibri" w:hAnsi="Calibri"/>
          <w:bCs/>
          <w:iCs/>
          <w:sz w:val="20"/>
        </w:rPr>
        <w:t xml:space="preserve"> menos que la campaña pasada.</w:t>
      </w:r>
      <w:r>
        <w:rPr>
          <w:rFonts w:ascii="Calibri" w:hAnsi="Calibri"/>
          <w:bCs/>
          <w:iCs/>
          <w:sz w:val="20"/>
        </w:rPr>
        <w:t xml:space="preserve"> </w:t>
      </w:r>
    </w:p>
    <w:p w:rsidR="009F12B2" w:rsidRPr="00BF65CC" w:rsidRDefault="00D413B9" w:rsidP="00151B38">
      <w:pPr>
        <w:spacing w:after="0" w:line="360" w:lineRule="auto"/>
        <w:jc w:val="both"/>
        <w:rPr>
          <w:b/>
          <w:i/>
          <w:sz w:val="20"/>
        </w:rPr>
      </w:pPr>
      <w:r w:rsidRPr="00BF65CC">
        <w:rPr>
          <w:rFonts w:ascii="Calibri" w:hAnsi="Calibri"/>
          <w:bCs/>
          <w:i/>
          <w:iCs/>
          <w:sz w:val="20"/>
        </w:rPr>
        <w:t xml:space="preserve">Es importante destacar que para el cálculo de estos márgenes se contempló el rendimiento promedio de las últimas cuatro campañas. Si en el ciclo 2017/18 se obtuvieran los mismos rendimientos que en 2016/17, los resultados serían </w:t>
      </w:r>
      <w:r w:rsidR="00001472" w:rsidRPr="00BF65CC">
        <w:rPr>
          <w:rFonts w:ascii="Calibri" w:hAnsi="Calibri"/>
          <w:bCs/>
          <w:i/>
          <w:iCs/>
          <w:sz w:val="20"/>
        </w:rPr>
        <w:t>sustancialmente</w:t>
      </w:r>
      <w:r w:rsidRPr="00BF65CC">
        <w:rPr>
          <w:rFonts w:ascii="Calibri" w:hAnsi="Calibri"/>
          <w:bCs/>
          <w:i/>
          <w:iCs/>
          <w:sz w:val="20"/>
        </w:rPr>
        <w:t xml:space="preserve"> mejores.</w:t>
      </w:r>
    </w:p>
    <w:p w:rsidR="009F12B2" w:rsidRDefault="00D413B9" w:rsidP="009F12B2">
      <w:pPr>
        <w:jc w:val="center"/>
        <w:rPr>
          <w:b/>
          <w:sz w:val="16"/>
          <w:lang w:val="es-ES"/>
        </w:rPr>
      </w:pPr>
      <w:r>
        <w:rPr>
          <w:noProof/>
          <w:lang w:eastAsia="es-AR"/>
        </w:rPr>
        <w:drawing>
          <wp:inline distT="0" distB="0" distL="0" distR="0" wp14:anchorId="0E6EB3F9" wp14:editId="3D0FE5C5">
            <wp:extent cx="5365630" cy="2622430"/>
            <wp:effectExtent l="0" t="0" r="6985" b="698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5E67" w:rsidRPr="00C0426B" w:rsidRDefault="00AD5E67" w:rsidP="009F12B2">
      <w:pPr>
        <w:jc w:val="center"/>
        <w:rPr>
          <w:sz w:val="16"/>
          <w:lang w:val="es-ES"/>
        </w:rPr>
      </w:pPr>
      <w:r w:rsidRPr="00C0426B">
        <w:rPr>
          <w:sz w:val="16"/>
          <w:lang w:val="es-ES"/>
        </w:rPr>
        <w:t>Fuente: DIA - BCCBA</w:t>
      </w:r>
    </w:p>
    <w:sectPr w:rsidR="00AD5E67" w:rsidRPr="00C042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42"/>
    <w:rsid w:val="00001472"/>
    <w:rsid w:val="00011CA3"/>
    <w:rsid w:val="00026FE7"/>
    <w:rsid w:val="000B7BB8"/>
    <w:rsid w:val="00124609"/>
    <w:rsid w:val="00151B38"/>
    <w:rsid w:val="00562A3D"/>
    <w:rsid w:val="0057189E"/>
    <w:rsid w:val="00587D4A"/>
    <w:rsid w:val="007E0FF9"/>
    <w:rsid w:val="008845B4"/>
    <w:rsid w:val="00891A21"/>
    <w:rsid w:val="009F12B2"/>
    <w:rsid w:val="00A629A5"/>
    <w:rsid w:val="00AB4EF0"/>
    <w:rsid w:val="00AD5E67"/>
    <w:rsid w:val="00BF65CC"/>
    <w:rsid w:val="00C0426B"/>
    <w:rsid w:val="00CD6452"/>
    <w:rsid w:val="00D413B9"/>
    <w:rsid w:val="00D510F6"/>
    <w:rsid w:val="00E3407F"/>
    <w:rsid w:val="00E70A42"/>
    <w:rsid w:val="00EB799D"/>
    <w:rsid w:val="00EC7467"/>
    <w:rsid w:val="00EE5EE3"/>
    <w:rsid w:val="00F35F64"/>
    <w:rsid w:val="00F739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12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2B2"/>
    <w:rPr>
      <w:rFonts w:ascii="Tahoma" w:hAnsi="Tahoma" w:cs="Tahoma"/>
      <w:sz w:val="16"/>
      <w:szCs w:val="16"/>
    </w:rPr>
  </w:style>
  <w:style w:type="table" w:styleId="Tablaconcuadrcula">
    <w:name w:val="Table Grid"/>
    <w:basedOn w:val="Tablanormal"/>
    <w:uiPriority w:val="59"/>
    <w:rsid w:val="000B7BB8"/>
    <w:pPr>
      <w:spacing w:after="0" w:line="240" w:lineRule="auto"/>
    </w:pPr>
    <w:rPr>
      <w:rFonts w:ascii="Calibri" w:eastAsia="Calibri" w:hAnsi="Calibri"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12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2B2"/>
    <w:rPr>
      <w:rFonts w:ascii="Tahoma" w:hAnsi="Tahoma" w:cs="Tahoma"/>
      <w:sz w:val="16"/>
      <w:szCs w:val="16"/>
    </w:rPr>
  </w:style>
  <w:style w:type="table" w:styleId="Tablaconcuadrcula">
    <w:name w:val="Table Grid"/>
    <w:basedOn w:val="Tablanormal"/>
    <w:uiPriority w:val="59"/>
    <w:rsid w:val="000B7BB8"/>
    <w:pPr>
      <w:spacing w:after="0" w:line="240" w:lineRule="auto"/>
    </w:pPr>
    <w:rPr>
      <w:rFonts w:ascii="Calibri" w:eastAsia="Calibri" w:hAnsi="Calibri"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hart" Target="charts/chart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chart" Target="charts/chart2.xml"/><Relationship Id="rId5" Type="http://schemas.openxmlformats.org/officeDocument/2006/relationships/image" Target="media/image1.png"/><Relationship Id="rId15" Type="http://schemas.openxmlformats.org/officeDocument/2006/relationships/chart" Target="charts/chart5.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Documentos\Documentos\DIA\4_ECONOMIA\BASES%20DE%20DATOS%20AGRO\Relaci&#243;n%20Insumo-Producto\Relaciones%20Insumo%20Producto.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Precio de trigo a cosecha</a:t>
            </a:r>
          </a:p>
          <a:p>
            <a:pPr>
              <a:defRPr/>
            </a:pPr>
            <a:r>
              <a:rPr lang="en-US"/>
              <a:t>- En USD/tn -</a:t>
            </a:r>
          </a:p>
        </c:rich>
      </c:tx>
      <c:overlay val="0"/>
    </c:title>
    <c:autoTitleDeleted val="0"/>
    <c:plotArea>
      <c:layout>
        <c:manualLayout>
          <c:layoutTarget val="inner"/>
          <c:xMode val="edge"/>
          <c:yMode val="edge"/>
          <c:x val="7.7747059443537617E-2"/>
          <c:y val="0.19186907966677061"/>
          <c:w val="0.87696712547993838"/>
          <c:h val="0.61766534613989621"/>
        </c:manualLayout>
      </c:layout>
      <c:lineChart>
        <c:grouping val="standard"/>
        <c:varyColors val="0"/>
        <c:ser>
          <c:idx val="0"/>
          <c:order val="0"/>
          <c:tx>
            <c:strRef>
              <c:f>disponibles!$B$1</c:f>
              <c:strCache>
                <c:ptCount val="1"/>
                <c:pt idx="0">
                  <c:v>Trigo</c:v>
                </c:pt>
              </c:strCache>
            </c:strRef>
          </c:tx>
          <c:spPr>
            <a:ln>
              <a:solidFill>
                <a:schemeClr val="accent3">
                  <a:lumMod val="75000"/>
                </a:schemeClr>
              </a:solidFill>
            </a:ln>
          </c:spPr>
          <c:marker>
            <c:symbol val="square"/>
            <c:size val="7"/>
            <c:spPr>
              <a:solidFill>
                <a:srgbClr val="9BBB59">
                  <a:lumMod val="75000"/>
                </a:srgbClr>
              </a:solidFill>
              <a:ln>
                <a:solidFill>
                  <a:srgbClr val="9BBB59">
                    <a:lumMod val="75000"/>
                  </a:srgbClr>
                </a:solidFill>
              </a:ln>
            </c:spPr>
          </c:marker>
          <c:dLbls>
            <c:dLbl>
              <c:idx val="11"/>
              <c:delete val="1"/>
              <c:extLst>
                <c:ext xmlns:c15="http://schemas.microsoft.com/office/drawing/2012/chart" uri="{CE6537A1-D6FC-4f65-9D91-7224C49458BB}"/>
              </c:extLst>
            </c:dLbl>
            <c:dLbl>
              <c:idx val="12"/>
              <c:layout>
                <c:manualLayout>
                  <c:x val="-4.0410046422705216E-2"/>
                  <c:y val="-5.8420595040764724E-2"/>
                </c:manualLayout>
              </c:layout>
              <c:spPr/>
              <c:txPr>
                <a:bodyPr/>
                <a:lstStyle/>
                <a:p>
                  <a:pPr>
                    <a:defRPr sz="1000" b="1"/>
                  </a:pPr>
                  <a:endParaRPr lang="es-AR"/>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3.4970047278752026E-2"/>
                  <c:y val="-5.581815421746604E-2"/>
                </c:manualLayout>
              </c:layout>
              <c:spPr/>
              <c:txPr>
                <a:bodyPr/>
                <a:lstStyle/>
                <a:p>
                  <a:pPr>
                    <a:defRPr sz="1000" b="1"/>
                  </a:pPr>
                  <a:endParaRPr lang="es-AR"/>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0"/>
            <c:showCatName val="0"/>
            <c:showSerName val="0"/>
            <c:showPercent val="0"/>
            <c:showBubbleSize val="0"/>
            <c:extLst>
              <c:ext xmlns:c15="http://schemas.microsoft.com/office/drawing/2012/chart" uri="{CE6537A1-D6FC-4f65-9D91-7224C49458BB}">
                <c15:showLeaderLines val="0"/>
              </c:ext>
            </c:extLst>
          </c:dLbls>
          <c:cat>
            <c:strRef>
              <c:f>disponibles!$A$10:$A$23</c:f>
              <c:strCache>
                <c:ptCount val="14"/>
                <c:pt idx="0">
                  <c:v>2004/05</c:v>
                </c:pt>
                <c:pt idx="1">
                  <c:v>2005/06</c:v>
                </c:pt>
                <c:pt idx="2">
                  <c:v>2006/07</c:v>
                </c:pt>
                <c:pt idx="3">
                  <c:v>2007/08</c:v>
                </c:pt>
                <c:pt idx="4">
                  <c:v>2008/09</c:v>
                </c:pt>
                <c:pt idx="5">
                  <c:v>2009 /10</c:v>
                </c:pt>
                <c:pt idx="6">
                  <c:v>2010 /11</c:v>
                </c:pt>
                <c:pt idx="7">
                  <c:v>2011 /12</c:v>
                </c:pt>
                <c:pt idx="8">
                  <c:v>2012/13</c:v>
                </c:pt>
                <c:pt idx="9">
                  <c:v>2013/14</c:v>
                </c:pt>
                <c:pt idx="10">
                  <c:v>2014/15</c:v>
                </c:pt>
                <c:pt idx="11">
                  <c:v>2015/16</c:v>
                </c:pt>
                <c:pt idx="12">
                  <c:v>2016/17</c:v>
                </c:pt>
                <c:pt idx="13">
                  <c:v>2017/18</c:v>
                </c:pt>
              </c:strCache>
            </c:strRef>
          </c:cat>
          <c:val>
            <c:numRef>
              <c:f>disponibles!$B$10:$B$23</c:f>
              <c:numCache>
                <c:formatCode>#,##0</c:formatCode>
                <c:ptCount val="14"/>
                <c:pt idx="0">
                  <c:v>83</c:v>
                </c:pt>
                <c:pt idx="1">
                  <c:v>109</c:v>
                </c:pt>
                <c:pt idx="2">
                  <c:v>118</c:v>
                </c:pt>
                <c:pt idx="3">
                  <c:v>181</c:v>
                </c:pt>
                <c:pt idx="4">
                  <c:v>123.16</c:v>
                </c:pt>
                <c:pt idx="5">
                  <c:v>139.68</c:v>
                </c:pt>
                <c:pt idx="6">
                  <c:v>177.61</c:v>
                </c:pt>
                <c:pt idx="7">
                  <c:v>134.875</c:v>
                </c:pt>
                <c:pt idx="8">
                  <c:v>247.46875</c:v>
                </c:pt>
                <c:pt idx="9">
                  <c:v>217</c:v>
                </c:pt>
                <c:pt idx="10" formatCode="General">
                  <c:v>118</c:v>
                </c:pt>
                <c:pt idx="11">
                  <c:v>135</c:v>
                </c:pt>
                <c:pt idx="12">
                  <c:v>147</c:v>
                </c:pt>
                <c:pt idx="13">
                  <c:v>159</c:v>
                </c:pt>
              </c:numCache>
            </c:numRef>
          </c:val>
          <c:smooth val="0"/>
        </c:ser>
        <c:dLbls>
          <c:showLegendKey val="0"/>
          <c:showVal val="0"/>
          <c:showCatName val="0"/>
          <c:showSerName val="0"/>
          <c:showPercent val="0"/>
          <c:showBubbleSize val="0"/>
        </c:dLbls>
        <c:marker val="1"/>
        <c:smooth val="0"/>
        <c:axId val="161081600"/>
        <c:axId val="161103872"/>
      </c:lineChart>
      <c:catAx>
        <c:axId val="161081600"/>
        <c:scaling>
          <c:orientation val="minMax"/>
        </c:scaling>
        <c:delete val="0"/>
        <c:axPos val="b"/>
        <c:numFmt formatCode="General" sourceLinked="0"/>
        <c:majorTickMark val="none"/>
        <c:minorTickMark val="none"/>
        <c:tickLblPos val="nextTo"/>
        <c:txPr>
          <a:bodyPr rot="-2700000"/>
          <a:lstStyle/>
          <a:p>
            <a:pPr>
              <a:defRPr/>
            </a:pPr>
            <a:endParaRPr lang="es-AR"/>
          </a:p>
        </c:txPr>
        <c:crossAx val="161103872"/>
        <c:crosses val="autoZero"/>
        <c:auto val="1"/>
        <c:lblAlgn val="ctr"/>
        <c:lblOffset val="100"/>
        <c:noMultiLvlLbl val="0"/>
      </c:catAx>
      <c:valAx>
        <c:axId val="161103872"/>
        <c:scaling>
          <c:orientation val="minMax"/>
          <c:min val="50"/>
        </c:scaling>
        <c:delete val="0"/>
        <c:axPos val="l"/>
        <c:majorGridlines>
          <c:spPr>
            <a:ln>
              <a:solidFill>
                <a:schemeClr val="bg1">
                  <a:lumMod val="85000"/>
                </a:schemeClr>
              </a:solidFill>
              <a:prstDash val="dash"/>
            </a:ln>
          </c:spPr>
        </c:majorGridlines>
        <c:numFmt formatCode="#,##0" sourceLinked="1"/>
        <c:majorTickMark val="none"/>
        <c:minorTickMark val="none"/>
        <c:tickLblPos val="nextTo"/>
        <c:crossAx val="161081600"/>
        <c:crosses val="autoZero"/>
        <c:crossBetween val="between"/>
      </c:valAx>
    </c:plotArea>
    <c:plotVisOnly val="1"/>
    <c:dispBlanksAs val="gap"/>
    <c:showDLblsOverMax val="0"/>
  </c:chart>
  <c:spPr>
    <a:ln>
      <a:noFill/>
    </a:ln>
  </c:spPr>
  <c:txPr>
    <a:bodyPr/>
    <a:lstStyle/>
    <a:p>
      <a:pPr>
        <a:defRPr sz="800"/>
      </a:pPr>
      <a:endParaRPr lang="es-A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s-AR" sz="1000"/>
              <a:t>Precio UREA</a:t>
            </a:r>
          </a:p>
          <a:p>
            <a:pPr>
              <a:defRPr sz="1000"/>
            </a:pPr>
            <a:r>
              <a:rPr lang="es-AR" sz="1000"/>
              <a:t>- USD/tn</a:t>
            </a:r>
            <a:r>
              <a:rPr lang="es-AR" sz="1000" baseline="0"/>
              <a:t> -</a:t>
            </a:r>
            <a:endParaRPr lang="es-AR" sz="1000"/>
          </a:p>
        </c:rich>
      </c:tx>
      <c:overlay val="0"/>
    </c:title>
    <c:autoTitleDeleted val="0"/>
    <c:plotArea>
      <c:layout/>
      <c:lineChart>
        <c:grouping val="standard"/>
        <c:varyColors val="0"/>
        <c:ser>
          <c:idx val="1"/>
          <c:order val="1"/>
          <c:spPr>
            <a:ln>
              <a:solidFill>
                <a:schemeClr val="accent3">
                  <a:lumMod val="50000"/>
                </a:schemeClr>
              </a:solidFill>
            </a:ln>
          </c:spPr>
          <c:marker>
            <c:symbol val="none"/>
          </c:marker>
          <c:cat>
            <c:numRef>
              <c:f>Precios!$C$22:$BH$22</c:f>
              <c:numCache>
                <c:formatCode>mmm\-yy</c:formatCode>
                <c:ptCount val="58"/>
                <c:pt idx="0">
                  <c:v>41061</c:v>
                </c:pt>
                <c:pt idx="1">
                  <c:v>41091</c:v>
                </c:pt>
                <c:pt idx="2">
                  <c:v>41122</c:v>
                </c:pt>
                <c:pt idx="3">
                  <c:v>41153</c:v>
                </c:pt>
                <c:pt idx="4">
                  <c:v>41183</c:v>
                </c:pt>
                <c:pt idx="5">
                  <c:v>41214</c:v>
                </c:pt>
                <c:pt idx="6">
                  <c:v>41244</c:v>
                </c:pt>
                <c:pt idx="7">
                  <c:v>41275</c:v>
                </c:pt>
                <c:pt idx="8">
                  <c:v>41306</c:v>
                </c:pt>
                <c:pt idx="9">
                  <c:v>41334</c:v>
                </c:pt>
                <c:pt idx="10">
                  <c:v>41365</c:v>
                </c:pt>
                <c:pt idx="11">
                  <c:v>41395</c:v>
                </c:pt>
                <c:pt idx="12">
                  <c:v>41426</c:v>
                </c:pt>
                <c:pt idx="13">
                  <c:v>41456</c:v>
                </c:pt>
                <c:pt idx="14">
                  <c:v>41487</c:v>
                </c:pt>
                <c:pt idx="15">
                  <c:v>41518</c:v>
                </c:pt>
                <c:pt idx="16">
                  <c:v>41548</c:v>
                </c:pt>
                <c:pt idx="17">
                  <c:v>41579</c:v>
                </c:pt>
                <c:pt idx="18">
                  <c:v>41609</c:v>
                </c:pt>
                <c:pt idx="19">
                  <c:v>41640</c:v>
                </c:pt>
                <c:pt idx="20">
                  <c:v>41671</c:v>
                </c:pt>
                <c:pt idx="21">
                  <c:v>41699</c:v>
                </c:pt>
                <c:pt idx="22">
                  <c:v>41730</c:v>
                </c:pt>
                <c:pt idx="23">
                  <c:v>41760</c:v>
                </c:pt>
                <c:pt idx="24">
                  <c:v>41791</c:v>
                </c:pt>
                <c:pt idx="25">
                  <c:v>41821</c:v>
                </c:pt>
                <c:pt idx="26">
                  <c:v>41852</c:v>
                </c:pt>
                <c:pt idx="27">
                  <c:v>41883</c:v>
                </c:pt>
                <c:pt idx="28">
                  <c:v>41913</c:v>
                </c:pt>
                <c:pt idx="29">
                  <c:v>41944</c:v>
                </c:pt>
                <c:pt idx="30">
                  <c:v>41974</c:v>
                </c:pt>
                <c:pt idx="31">
                  <c:v>42005</c:v>
                </c:pt>
                <c:pt idx="32">
                  <c:v>42036</c:v>
                </c:pt>
                <c:pt idx="33">
                  <c:v>42064</c:v>
                </c:pt>
                <c:pt idx="34">
                  <c:v>42095</c:v>
                </c:pt>
                <c:pt idx="35">
                  <c:v>42125</c:v>
                </c:pt>
                <c:pt idx="36">
                  <c:v>42156</c:v>
                </c:pt>
                <c:pt idx="37">
                  <c:v>42186</c:v>
                </c:pt>
                <c:pt idx="38">
                  <c:v>42217</c:v>
                </c:pt>
                <c:pt idx="39">
                  <c:v>42248</c:v>
                </c:pt>
                <c:pt idx="40">
                  <c:v>42278</c:v>
                </c:pt>
                <c:pt idx="41">
                  <c:v>42309</c:v>
                </c:pt>
                <c:pt idx="42">
                  <c:v>42339</c:v>
                </c:pt>
                <c:pt idx="43">
                  <c:v>42370</c:v>
                </c:pt>
                <c:pt idx="44">
                  <c:v>42401</c:v>
                </c:pt>
                <c:pt idx="45">
                  <c:v>42430</c:v>
                </c:pt>
                <c:pt idx="46">
                  <c:v>42461</c:v>
                </c:pt>
                <c:pt idx="47">
                  <c:v>42491</c:v>
                </c:pt>
                <c:pt idx="48">
                  <c:v>42522</c:v>
                </c:pt>
                <c:pt idx="49">
                  <c:v>42552</c:v>
                </c:pt>
                <c:pt idx="50">
                  <c:v>42583</c:v>
                </c:pt>
                <c:pt idx="51">
                  <c:v>42614</c:v>
                </c:pt>
                <c:pt idx="52">
                  <c:v>42644</c:v>
                </c:pt>
                <c:pt idx="53">
                  <c:v>42675</c:v>
                </c:pt>
                <c:pt idx="54">
                  <c:v>42705</c:v>
                </c:pt>
                <c:pt idx="55">
                  <c:v>42736</c:v>
                </c:pt>
                <c:pt idx="56">
                  <c:v>42767</c:v>
                </c:pt>
                <c:pt idx="57">
                  <c:v>42795</c:v>
                </c:pt>
              </c:numCache>
            </c:numRef>
          </c:cat>
          <c:val>
            <c:numRef>
              <c:f>Precios!$C$23:$BH$23</c:f>
              <c:numCache>
                <c:formatCode>General</c:formatCode>
                <c:ptCount val="58"/>
                <c:pt idx="0">
                  <c:v>650</c:v>
                </c:pt>
                <c:pt idx="1">
                  <c:v>650</c:v>
                </c:pt>
                <c:pt idx="2">
                  <c:v>650</c:v>
                </c:pt>
                <c:pt idx="3" formatCode="0.0">
                  <c:v>650</c:v>
                </c:pt>
                <c:pt idx="4" formatCode="0.0">
                  <c:v>642.5</c:v>
                </c:pt>
                <c:pt idx="5">
                  <c:v>635</c:v>
                </c:pt>
                <c:pt idx="6">
                  <c:v>635</c:v>
                </c:pt>
                <c:pt idx="7" formatCode="0.0">
                  <c:v>630</c:v>
                </c:pt>
                <c:pt idx="8">
                  <c:v>620</c:v>
                </c:pt>
                <c:pt idx="9" formatCode="0.0">
                  <c:v>610</c:v>
                </c:pt>
                <c:pt idx="10" formatCode="0.0">
                  <c:v>605</c:v>
                </c:pt>
                <c:pt idx="11">
                  <c:v>600</c:v>
                </c:pt>
                <c:pt idx="12">
                  <c:v>600</c:v>
                </c:pt>
                <c:pt idx="13">
                  <c:v>540</c:v>
                </c:pt>
                <c:pt idx="14">
                  <c:v>520</c:v>
                </c:pt>
                <c:pt idx="15">
                  <c:v>515</c:v>
                </c:pt>
                <c:pt idx="16">
                  <c:v>520</c:v>
                </c:pt>
                <c:pt idx="17">
                  <c:v>530</c:v>
                </c:pt>
                <c:pt idx="18">
                  <c:v>520</c:v>
                </c:pt>
                <c:pt idx="19">
                  <c:v>520</c:v>
                </c:pt>
                <c:pt idx="20">
                  <c:v>550</c:v>
                </c:pt>
                <c:pt idx="21">
                  <c:v>550</c:v>
                </c:pt>
                <c:pt idx="22">
                  <c:v>545</c:v>
                </c:pt>
                <c:pt idx="23" formatCode="0.0">
                  <c:v>530</c:v>
                </c:pt>
                <c:pt idx="24" formatCode="0.0">
                  <c:v>520</c:v>
                </c:pt>
                <c:pt idx="25">
                  <c:v>515</c:v>
                </c:pt>
                <c:pt idx="26">
                  <c:v>540</c:v>
                </c:pt>
                <c:pt idx="27">
                  <c:v>535</c:v>
                </c:pt>
                <c:pt idx="28">
                  <c:v>540</c:v>
                </c:pt>
                <c:pt idx="29">
                  <c:v>540</c:v>
                </c:pt>
                <c:pt idx="30">
                  <c:v>540</c:v>
                </c:pt>
                <c:pt idx="31">
                  <c:v>540</c:v>
                </c:pt>
                <c:pt idx="32">
                  <c:v>530</c:v>
                </c:pt>
                <c:pt idx="33">
                  <c:v>520</c:v>
                </c:pt>
                <c:pt idx="34">
                  <c:v>520</c:v>
                </c:pt>
                <c:pt idx="35" formatCode="0.0">
                  <c:v>490</c:v>
                </c:pt>
                <c:pt idx="36" formatCode="0.0">
                  <c:v>490</c:v>
                </c:pt>
                <c:pt idx="37">
                  <c:v>490</c:v>
                </c:pt>
                <c:pt idx="38">
                  <c:v>490</c:v>
                </c:pt>
                <c:pt idx="39">
                  <c:v>490</c:v>
                </c:pt>
                <c:pt idx="40">
                  <c:v>490</c:v>
                </c:pt>
                <c:pt idx="41">
                  <c:v>465</c:v>
                </c:pt>
                <c:pt idx="42">
                  <c:v>465</c:v>
                </c:pt>
                <c:pt idx="43">
                  <c:v>440</c:v>
                </c:pt>
                <c:pt idx="44">
                  <c:v>440</c:v>
                </c:pt>
                <c:pt idx="45">
                  <c:v>395</c:v>
                </c:pt>
                <c:pt idx="46">
                  <c:v>360</c:v>
                </c:pt>
                <c:pt idx="47">
                  <c:v>360</c:v>
                </c:pt>
                <c:pt idx="48" formatCode="0.0">
                  <c:v>350</c:v>
                </c:pt>
                <c:pt idx="49">
                  <c:v>350</c:v>
                </c:pt>
                <c:pt idx="50">
                  <c:v>350</c:v>
                </c:pt>
                <c:pt idx="51">
                  <c:v>335</c:v>
                </c:pt>
                <c:pt idx="52">
                  <c:v>335</c:v>
                </c:pt>
                <c:pt idx="53">
                  <c:v>335</c:v>
                </c:pt>
                <c:pt idx="54">
                  <c:v>360</c:v>
                </c:pt>
                <c:pt idx="55">
                  <c:v>395</c:v>
                </c:pt>
                <c:pt idx="56">
                  <c:v>410</c:v>
                </c:pt>
                <c:pt idx="57">
                  <c:v>410</c:v>
                </c:pt>
              </c:numCache>
            </c:numRef>
          </c:val>
          <c:smooth val="0"/>
        </c:ser>
        <c:ser>
          <c:idx val="0"/>
          <c:order val="0"/>
          <c:spPr>
            <a:ln>
              <a:solidFill>
                <a:schemeClr val="accent3">
                  <a:lumMod val="50000"/>
                </a:schemeClr>
              </a:solidFill>
            </a:ln>
          </c:spPr>
          <c:marker>
            <c:symbol val="none"/>
          </c:marker>
          <c:cat>
            <c:numRef>
              <c:f>Precios!$C$22:$BH$22</c:f>
              <c:numCache>
                <c:formatCode>mmm\-yy</c:formatCode>
                <c:ptCount val="58"/>
                <c:pt idx="0">
                  <c:v>41061</c:v>
                </c:pt>
                <c:pt idx="1">
                  <c:v>41091</c:v>
                </c:pt>
                <c:pt idx="2">
                  <c:v>41122</c:v>
                </c:pt>
                <c:pt idx="3">
                  <c:v>41153</c:v>
                </c:pt>
                <c:pt idx="4">
                  <c:v>41183</c:v>
                </c:pt>
                <c:pt idx="5">
                  <c:v>41214</c:v>
                </c:pt>
                <c:pt idx="6">
                  <c:v>41244</c:v>
                </c:pt>
                <c:pt idx="7">
                  <c:v>41275</c:v>
                </c:pt>
                <c:pt idx="8">
                  <c:v>41306</c:v>
                </c:pt>
                <c:pt idx="9">
                  <c:v>41334</c:v>
                </c:pt>
                <c:pt idx="10">
                  <c:v>41365</c:v>
                </c:pt>
                <c:pt idx="11">
                  <c:v>41395</c:v>
                </c:pt>
                <c:pt idx="12">
                  <c:v>41426</c:v>
                </c:pt>
                <c:pt idx="13">
                  <c:v>41456</c:v>
                </c:pt>
                <c:pt idx="14">
                  <c:v>41487</c:v>
                </c:pt>
                <c:pt idx="15">
                  <c:v>41518</c:v>
                </c:pt>
                <c:pt idx="16">
                  <c:v>41548</c:v>
                </c:pt>
                <c:pt idx="17">
                  <c:v>41579</c:v>
                </c:pt>
                <c:pt idx="18">
                  <c:v>41609</c:v>
                </c:pt>
                <c:pt idx="19">
                  <c:v>41640</c:v>
                </c:pt>
                <c:pt idx="20">
                  <c:v>41671</c:v>
                </c:pt>
                <c:pt idx="21">
                  <c:v>41699</c:v>
                </c:pt>
                <c:pt idx="22">
                  <c:v>41730</c:v>
                </c:pt>
                <c:pt idx="23">
                  <c:v>41760</c:v>
                </c:pt>
                <c:pt idx="24">
                  <c:v>41791</c:v>
                </c:pt>
                <c:pt idx="25">
                  <c:v>41821</c:v>
                </c:pt>
                <c:pt idx="26">
                  <c:v>41852</c:v>
                </c:pt>
                <c:pt idx="27">
                  <c:v>41883</c:v>
                </c:pt>
                <c:pt idx="28">
                  <c:v>41913</c:v>
                </c:pt>
                <c:pt idx="29">
                  <c:v>41944</c:v>
                </c:pt>
                <c:pt idx="30">
                  <c:v>41974</c:v>
                </c:pt>
                <c:pt idx="31">
                  <c:v>42005</c:v>
                </c:pt>
                <c:pt idx="32">
                  <c:v>42036</c:v>
                </c:pt>
                <c:pt idx="33">
                  <c:v>42064</c:v>
                </c:pt>
                <c:pt idx="34">
                  <c:v>42095</c:v>
                </c:pt>
                <c:pt idx="35">
                  <c:v>42125</c:v>
                </c:pt>
                <c:pt idx="36">
                  <c:v>42156</c:v>
                </c:pt>
                <c:pt idx="37">
                  <c:v>42186</c:v>
                </c:pt>
                <c:pt idx="38">
                  <c:v>42217</c:v>
                </c:pt>
                <c:pt idx="39">
                  <c:v>42248</c:v>
                </c:pt>
                <c:pt idx="40">
                  <c:v>42278</c:v>
                </c:pt>
                <c:pt idx="41">
                  <c:v>42309</c:v>
                </c:pt>
                <c:pt idx="42">
                  <c:v>42339</c:v>
                </c:pt>
                <c:pt idx="43">
                  <c:v>42370</c:v>
                </c:pt>
                <c:pt idx="44">
                  <c:v>42401</c:v>
                </c:pt>
                <c:pt idx="45">
                  <c:v>42430</c:v>
                </c:pt>
                <c:pt idx="46">
                  <c:v>42461</c:v>
                </c:pt>
                <c:pt idx="47">
                  <c:v>42491</c:v>
                </c:pt>
                <c:pt idx="48">
                  <c:v>42522</c:v>
                </c:pt>
                <c:pt idx="49">
                  <c:v>42552</c:v>
                </c:pt>
                <c:pt idx="50">
                  <c:v>42583</c:v>
                </c:pt>
                <c:pt idx="51">
                  <c:v>42614</c:v>
                </c:pt>
                <c:pt idx="52">
                  <c:v>42644</c:v>
                </c:pt>
                <c:pt idx="53">
                  <c:v>42675</c:v>
                </c:pt>
                <c:pt idx="54">
                  <c:v>42705</c:v>
                </c:pt>
                <c:pt idx="55">
                  <c:v>42736</c:v>
                </c:pt>
                <c:pt idx="56">
                  <c:v>42767</c:v>
                </c:pt>
                <c:pt idx="57">
                  <c:v>42795</c:v>
                </c:pt>
              </c:numCache>
            </c:numRef>
          </c:cat>
          <c:val>
            <c:numRef>
              <c:f>Precios!$C$23:$BH$23</c:f>
              <c:numCache>
                <c:formatCode>General</c:formatCode>
                <c:ptCount val="58"/>
                <c:pt idx="0">
                  <c:v>650</c:v>
                </c:pt>
                <c:pt idx="1">
                  <c:v>650</c:v>
                </c:pt>
                <c:pt idx="2">
                  <c:v>650</c:v>
                </c:pt>
                <c:pt idx="3" formatCode="0.0">
                  <c:v>650</c:v>
                </c:pt>
                <c:pt idx="4" formatCode="0.0">
                  <c:v>642.5</c:v>
                </c:pt>
                <c:pt idx="5">
                  <c:v>635</c:v>
                </c:pt>
                <c:pt idx="6">
                  <c:v>635</c:v>
                </c:pt>
                <c:pt idx="7" formatCode="0.0">
                  <c:v>630</c:v>
                </c:pt>
                <c:pt idx="8">
                  <c:v>620</c:v>
                </c:pt>
                <c:pt idx="9" formatCode="0.0">
                  <c:v>610</c:v>
                </c:pt>
                <c:pt idx="10" formatCode="0.0">
                  <c:v>605</c:v>
                </c:pt>
                <c:pt idx="11">
                  <c:v>600</c:v>
                </c:pt>
                <c:pt idx="12">
                  <c:v>600</c:v>
                </c:pt>
                <c:pt idx="13">
                  <c:v>540</c:v>
                </c:pt>
                <c:pt idx="14">
                  <c:v>520</c:v>
                </c:pt>
                <c:pt idx="15">
                  <c:v>515</c:v>
                </c:pt>
                <c:pt idx="16">
                  <c:v>520</c:v>
                </c:pt>
                <c:pt idx="17">
                  <c:v>530</c:v>
                </c:pt>
                <c:pt idx="18">
                  <c:v>520</c:v>
                </c:pt>
                <c:pt idx="19">
                  <c:v>520</c:v>
                </c:pt>
                <c:pt idx="20">
                  <c:v>550</c:v>
                </c:pt>
                <c:pt idx="21">
                  <c:v>550</c:v>
                </c:pt>
                <c:pt idx="22">
                  <c:v>545</c:v>
                </c:pt>
                <c:pt idx="23" formatCode="0.0">
                  <c:v>530</c:v>
                </c:pt>
                <c:pt idx="24" formatCode="0.0">
                  <c:v>520</c:v>
                </c:pt>
                <c:pt idx="25">
                  <c:v>515</c:v>
                </c:pt>
                <c:pt idx="26">
                  <c:v>540</c:v>
                </c:pt>
                <c:pt idx="27">
                  <c:v>535</c:v>
                </c:pt>
                <c:pt idx="28">
                  <c:v>540</c:v>
                </c:pt>
                <c:pt idx="29">
                  <c:v>540</c:v>
                </c:pt>
                <c:pt idx="30">
                  <c:v>540</c:v>
                </c:pt>
                <c:pt idx="31">
                  <c:v>540</c:v>
                </c:pt>
                <c:pt idx="32">
                  <c:v>530</c:v>
                </c:pt>
                <c:pt idx="33">
                  <c:v>520</c:v>
                </c:pt>
                <c:pt idx="34">
                  <c:v>520</c:v>
                </c:pt>
                <c:pt idx="35" formatCode="0.0">
                  <c:v>490</c:v>
                </c:pt>
                <c:pt idx="36" formatCode="0.0">
                  <c:v>490</c:v>
                </c:pt>
                <c:pt idx="37">
                  <c:v>490</c:v>
                </c:pt>
                <c:pt idx="38">
                  <c:v>490</c:v>
                </c:pt>
                <c:pt idx="39">
                  <c:v>490</c:v>
                </c:pt>
                <c:pt idx="40">
                  <c:v>490</c:v>
                </c:pt>
                <c:pt idx="41">
                  <c:v>465</c:v>
                </c:pt>
                <c:pt idx="42">
                  <c:v>465</c:v>
                </c:pt>
                <c:pt idx="43">
                  <c:v>440</c:v>
                </c:pt>
                <c:pt idx="44">
                  <c:v>440</c:v>
                </c:pt>
                <c:pt idx="45">
                  <c:v>395</c:v>
                </c:pt>
                <c:pt idx="46">
                  <c:v>360</c:v>
                </c:pt>
                <c:pt idx="47">
                  <c:v>360</c:v>
                </c:pt>
                <c:pt idx="48" formatCode="0.0">
                  <c:v>350</c:v>
                </c:pt>
                <c:pt idx="49">
                  <c:v>350</c:v>
                </c:pt>
                <c:pt idx="50">
                  <c:v>350</c:v>
                </c:pt>
                <c:pt idx="51">
                  <c:v>335</c:v>
                </c:pt>
                <c:pt idx="52">
                  <c:v>335</c:v>
                </c:pt>
                <c:pt idx="53">
                  <c:v>335</c:v>
                </c:pt>
                <c:pt idx="54">
                  <c:v>360</c:v>
                </c:pt>
                <c:pt idx="55">
                  <c:v>395</c:v>
                </c:pt>
                <c:pt idx="56">
                  <c:v>410</c:v>
                </c:pt>
                <c:pt idx="57">
                  <c:v>410</c:v>
                </c:pt>
              </c:numCache>
            </c:numRef>
          </c:val>
          <c:smooth val="0"/>
        </c:ser>
        <c:dLbls>
          <c:showLegendKey val="0"/>
          <c:showVal val="0"/>
          <c:showCatName val="0"/>
          <c:showSerName val="0"/>
          <c:showPercent val="0"/>
          <c:showBubbleSize val="0"/>
        </c:dLbls>
        <c:marker val="1"/>
        <c:smooth val="0"/>
        <c:axId val="188129664"/>
        <c:axId val="188131200"/>
      </c:lineChart>
      <c:dateAx>
        <c:axId val="188129664"/>
        <c:scaling>
          <c:orientation val="minMax"/>
          <c:max val="42795"/>
          <c:min val="41153"/>
        </c:scaling>
        <c:delete val="0"/>
        <c:axPos val="b"/>
        <c:numFmt formatCode="mmm\-yy" sourceLinked="1"/>
        <c:majorTickMark val="none"/>
        <c:minorTickMark val="none"/>
        <c:tickLblPos val="nextTo"/>
        <c:txPr>
          <a:bodyPr/>
          <a:lstStyle/>
          <a:p>
            <a:pPr>
              <a:defRPr sz="800"/>
            </a:pPr>
            <a:endParaRPr lang="es-AR"/>
          </a:p>
        </c:txPr>
        <c:crossAx val="188131200"/>
        <c:crosses val="autoZero"/>
        <c:auto val="1"/>
        <c:lblOffset val="100"/>
        <c:baseTimeUnit val="months"/>
      </c:dateAx>
      <c:valAx>
        <c:axId val="188131200"/>
        <c:scaling>
          <c:orientation val="minMax"/>
          <c:min val="300"/>
        </c:scaling>
        <c:delete val="0"/>
        <c:axPos val="l"/>
        <c:majorGridlines>
          <c:spPr>
            <a:ln>
              <a:solidFill>
                <a:schemeClr val="bg1">
                  <a:lumMod val="75000"/>
                </a:schemeClr>
              </a:solidFill>
              <a:prstDash val="sysDash"/>
            </a:ln>
          </c:spPr>
        </c:majorGridlines>
        <c:numFmt formatCode="General" sourceLinked="1"/>
        <c:majorTickMark val="none"/>
        <c:minorTickMark val="none"/>
        <c:tickLblPos val="nextTo"/>
        <c:txPr>
          <a:bodyPr/>
          <a:lstStyle/>
          <a:p>
            <a:pPr>
              <a:defRPr sz="800"/>
            </a:pPr>
            <a:endParaRPr lang="es-AR"/>
          </a:p>
        </c:txPr>
        <c:crossAx val="188129664"/>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s-AR" sz="1000"/>
              <a:t>Precio FOSFATO DIAMÓNICO</a:t>
            </a:r>
          </a:p>
          <a:p>
            <a:pPr>
              <a:defRPr sz="1000"/>
            </a:pPr>
            <a:r>
              <a:rPr lang="es-AR" sz="1000"/>
              <a:t>- USD/tn</a:t>
            </a:r>
            <a:r>
              <a:rPr lang="es-AR" sz="1000" baseline="0"/>
              <a:t> -</a:t>
            </a:r>
            <a:endParaRPr lang="es-AR" sz="1000"/>
          </a:p>
        </c:rich>
      </c:tx>
      <c:overlay val="0"/>
    </c:title>
    <c:autoTitleDeleted val="0"/>
    <c:plotArea>
      <c:layout/>
      <c:lineChart>
        <c:grouping val="standard"/>
        <c:varyColors val="0"/>
        <c:ser>
          <c:idx val="0"/>
          <c:order val="0"/>
          <c:spPr>
            <a:ln>
              <a:solidFill>
                <a:schemeClr val="accent3">
                  <a:lumMod val="50000"/>
                </a:schemeClr>
              </a:solidFill>
            </a:ln>
          </c:spPr>
          <c:marker>
            <c:symbol val="none"/>
          </c:marker>
          <c:cat>
            <c:numRef>
              <c:f>Precios!$C$22:$BH$22</c:f>
              <c:numCache>
                <c:formatCode>mmm\-yy</c:formatCode>
                <c:ptCount val="58"/>
                <c:pt idx="0">
                  <c:v>41061</c:v>
                </c:pt>
                <c:pt idx="1">
                  <c:v>41091</c:v>
                </c:pt>
                <c:pt idx="2">
                  <c:v>41122</c:v>
                </c:pt>
                <c:pt idx="3">
                  <c:v>41153</c:v>
                </c:pt>
                <c:pt idx="4">
                  <c:v>41183</c:v>
                </c:pt>
                <c:pt idx="5">
                  <c:v>41214</c:v>
                </c:pt>
                <c:pt idx="6">
                  <c:v>41244</c:v>
                </c:pt>
                <c:pt idx="7">
                  <c:v>41275</c:v>
                </c:pt>
                <c:pt idx="8">
                  <c:v>41306</c:v>
                </c:pt>
                <c:pt idx="9">
                  <c:v>41334</c:v>
                </c:pt>
                <c:pt idx="10">
                  <c:v>41365</c:v>
                </c:pt>
                <c:pt idx="11">
                  <c:v>41395</c:v>
                </c:pt>
                <c:pt idx="12">
                  <c:v>41426</c:v>
                </c:pt>
                <c:pt idx="13">
                  <c:v>41456</c:v>
                </c:pt>
                <c:pt idx="14">
                  <c:v>41487</c:v>
                </c:pt>
                <c:pt idx="15">
                  <c:v>41518</c:v>
                </c:pt>
                <c:pt idx="16">
                  <c:v>41548</c:v>
                </c:pt>
                <c:pt idx="17">
                  <c:v>41579</c:v>
                </c:pt>
                <c:pt idx="18">
                  <c:v>41609</c:v>
                </c:pt>
                <c:pt idx="19">
                  <c:v>41640</c:v>
                </c:pt>
                <c:pt idx="20">
                  <c:v>41671</c:v>
                </c:pt>
                <c:pt idx="21">
                  <c:v>41699</c:v>
                </c:pt>
                <c:pt idx="22">
                  <c:v>41730</c:v>
                </c:pt>
                <c:pt idx="23">
                  <c:v>41760</c:v>
                </c:pt>
                <c:pt idx="24">
                  <c:v>41791</c:v>
                </c:pt>
                <c:pt idx="25">
                  <c:v>41821</c:v>
                </c:pt>
                <c:pt idx="26">
                  <c:v>41852</c:v>
                </c:pt>
                <c:pt idx="27">
                  <c:v>41883</c:v>
                </c:pt>
                <c:pt idx="28">
                  <c:v>41913</c:v>
                </c:pt>
                <c:pt idx="29">
                  <c:v>41944</c:v>
                </c:pt>
                <c:pt idx="30">
                  <c:v>41974</c:v>
                </c:pt>
                <c:pt idx="31">
                  <c:v>42005</c:v>
                </c:pt>
                <c:pt idx="32">
                  <c:v>42036</c:v>
                </c:pt>
                <c:pt idx="33">
                  <c:v>42064</c:v>
                </c:pt>
                <c:pt idx="34">
                  <c:v>42095</c:v>
                </c:pt>
                <c:pt idx="35">
                  <c:v>42125</c:v>
                </c:pt>
                <c:pt idx="36">
                  <c:v>42156</c:v>
                </c:pt>
                <c:pt idx="37">
                  <c:v>42186</c:v>
                </c:pt>
                <c:pt idx="38">
                  <c:v>42217</c:v>
                </c:pt>
                <c:pt idx="39">
                  <c:v>42248</c:v>
                </c:pt>
                <c:pt idx="40">
                  <c:v>42278</c:v>
                </c:pt>
                <c:pt idx="41">
                  <c:v>42309</c:v>
                </c:pt>
                <c:pt idx="42">
                  <c:v>42339</c:v>
                </c:pt>
                <c:pt idx="43">
                  <c:v>42370</c:v>
                </c:pt>
                <c:pt idx="44">
                  <c:v>42401</c:v>
                </c:pt>
                <c:pt idx="45">
                  <c:v>42430</c:v>
                </c:pt>
                <c:pt idx="46">
                  <c:v>42461</c:v>
                </c:pt>
                <c:pt idx="47">
                  <c:v>42491</c:v>
                </c:pt>
                <c:pt idx="48">
                  <c:v>42522</c:v>
                </c:pt>
                <c:pt idx="49">
                  <c:v>42552</c:v>
                </c:pt>
                <c:pt idx="50">
                  <c:v>42583</c:v>
                </c:pt>
                <c:pt idx="51">
                  <c:v>42614</c:v>
                </c:pt>
                <c:pt idx="52">
                  <c:v>42644</c:v>
                </c:pt>
                <c:pt idx="53">
                  <c:v>42675</c:v>
                </c:pt>
                <c:pt idx="54">
                  <c:v>42705</c:v>
                </c:pt>
                <c:pt idx="55">
                  <c:v>42736</c:v>
                </c:pt>
                <c:pt idx="56">
                  <c:v>42767</c:v>
                </c:pt>
                <c:pt idx="57">
                  <c:v>42795</c:v>
                </c:pt>
              </c:numCache>
            </c:numRef>
          </c:cat>
          <c:val>
            <c:numRef>
              <c:f>Precios!$C$29:$BH$29</c:f>
              <c:numCache>
                <c:formatCode>General</c:formatCode>
                <c:ptCount val="58"/>
                <c:pt idx="0">
                  <c:v>710</c:v>
                </c:pt>
                <c:pt idx="1">
                  <c:v>735</c:v>
                </c:pt>
                <c:pt idx="2">
                  <c:v>740</c:v>
                </c:pt>
                <c:pt idx="3" formatCode="0.0">
                  <c:v>740</c:v>
                </c:pt>
                <c:pt idx="4">
                  <c:v>740</c:v>
                </c:pt>
                <c:pt idx="5">
                  <c:v>730</c:v>
                </c:pt>
                <c:pt idx="6">
                  <c:v>730</c:v>
                </c:pt>
                <c:pt idx="7" formatCode="0.0">
                  <c:v>725</c:v>
                </c:pt>
                <c:pt idx="8">
                  <c:v>735</c:v>
                </c:pt>
                <c:pt idx="9" formatCode="0.0">
                  <c:v>690</c:v>
                </c:pt>
                <c:pt idx="10" formatCode="0.0">
                  <c:v>690</c:v>
                </c:pt>
                <c:pt idx="11">
                  <c:v>670</c:v>
                </c:pt>
                <c:pt idx="12">
                  <c:v>670</c:v>
                </c:pt>
                <c:pt idx="13">
                  <c:v>665</c:v>
                </c:pt>
                <c:pt idx="14">
                  <c:v>650</c:v>
                </c:pt>
                <c:pt idx="15">
                  <c:v>650</c:v>
                </c:pt>
                <c:pt idx="16">
                  <c:v>630</c:v>
                </c:pt>
                <c:pt idx="17">
                  <c:v>630</c:v>
                </c:pt>
                <c:pt idx="18">
                  <c:v>620</c:v>
                </c:pt>
                <c:pt idx="19">
                  <c:v>605</c:v>
                </c:pt>
                <c:pt idx="20">
                  <c:v>650</c:v>
                </c:pt>
                <c:pt idx="21">
                  <c:v>650</c:v>
                </c:pt>
                <c:pt idx="22">
                  <c:v>640</c:v>
                </c:pt>
                <c:pt idx="23" formatCode="0.0">
                  <c:v>635</c:v>
                </c:pt>
                <c:pt idx="24" formatCode="0.0">
                  <c:v>625</c:v>
                </c:pt>
                <c:pt idx="25">
                  <c:v>640</c:v>
                </c:pt>
                <c:pt idx="26">
                  <c:v>675</c:v>
                </c:pt>
                <c:pt idx="27">
                  <c:v>660</c:v>
                </c:pt>
                <c:pt idx="28">
                  <c:v>660</c:v>
                </c:pt>
                <c:pt idx="29">
                  <c:v>660</c:v>
                </c:pt>
                <c:pt idx="30">
                  <c:v>660</c:v>
                </c:pt>
                <c:pt idx="31">
                  <c:v>650</c:v>
                </c:pt>
                <c:pt idx="32">
                  <c:v>640</c:v>
                </c:pt>
                <c:pt idx="33">
                  <c:v>640</c:v>
                </c:pt>
                <c:pt idx="34">
                  <c:v>640</c:v>
                </c:pt>
                <c:pt idx="35" formatCode="0.0">
                  <c:v>630</c:v>
                </c:pt>
                <c:pt idx="36" formatCode="0.0">
                  <c:v>630</c:v>
                </c:pt>
                <c:pt idx="37">
                  <c:v>630</c:v>
                </c:pt>
                <c:pt idx="38">
                  <c:v>630</c:v>
                </c:pt>
                <c:pt idx="39">
                  <c:v>630</c:v>
                </c:pt>
                <c:pt idx="40">
                  <c:v>630</c:v>
                </c:pt>
                <c:pt idx="41">
                  <c:v>620</c:v>
                </c:pt>
                <c:pt idx="42">
                  <c:v>620</c:v>
                </c:pt>
                <c:pt idx="43">
                  <c:v>620</c:v>
                </c:pt>
                <c:pt idx="44">
                  <c:v>620</c:v>
                </c:pt>
                <c:pt idx="45">
                  <c:v>560</c:v>
                </c:pt>
                <c:pt idx="46">
                  <c:v>545</c:v>
                </c:pt>
                <c:pt idx="47">
                  <c:v>545</c:v>
                </c:pt>
                <c:pt idx="48" formatCode="0.0">
                  <c:v>520</c:v>
                </c:pt>
                <c:pt idx="49">
                  <c:v>520</c:v>
                </c:pt>
                <c:pt idx="50">
                  <c:v>520</c:v>
                </c:pt>
                <c:pt idx="51">
                  <c:v>510</c:v>
                </c:pt>
                <c:pt idx="52">
                  <c:v>510</c:v>
                </c:pt>
                <c:pt idx="53">
                  <c:v>510</c:v>
                </c:pt>
                <c:pt idx="54">
                  <c:v>500</c:v>
                </c:pt>
                <c:pt idx="55">
                  <c:v>500</c:v>
                </c:pt>
                <c:pt idx="56">
                  <c:v>500</c:v>
                </c:pt>
                <c:pt idx="57">
                  <c:v>505</c:v>
                </c:pt>
              </c:numCache>
            </c:numRef>
          </c:val>
          <c:smooth val="0"/>
        </c:ser>
        <c:dLbls>
          <c:showLegendKey val="0"/>
          <c:showVal val="0"/>
          <c:showCatName val="0"/>
          <c:showSerName val="0"/>
          <c:showPercent val="0"/>
          <c:showBubbleSize val="0"/>
        </c:dLbls>
        <c:marker val="1"/>
        <c:smooth val="0"/>
        <c:axId val="189101568"/>
        <c:axId val="189103104"/>
      </c:lineChart>
      <c:dateAx>
        <c:axId val="189101568"/>
        <c:scaling>
          <c:orientation val="minMax"/>
          <c:min val="41091"/>
        </c:scaling>
        <c:delete val="0"/>
        <c:axPos val="b"/>
        <c:numFmt formatCode="mmm\-yy" sourceLinked="1"/>
        <c:majorTickMark val="none"/>
        <c:minorTickMark val="none"/>
        <c:tickLblPos val="nextTo"/>
        <c:txPr>
          <a:bodyPr/>
          <a:lstStyle/>
          <a:p>
            <a:pPr>
              <a:defRPr sz="800"/>
            </a:pPr>
            <a:endParaRPr lang="es-AR"/>
          </a:p>
        </c:txPr>
        <c:crossAx val="189103104"/>
        <c:crosses val="autoZero"/>
        <c:auto val="1"/>
        <c:lblOffset val="100"/>
        <c:baseTimeUnit val="months"/>
      </c:dateAx>
      <c:valAx>
        <c:axId val="189103104"/>
        <c:scaling>
          <c:orientation val="minMax"/>
          <c:min val="400"/>
        </c:scaling>
        <c:delete val="0"/>
        <c:axPos val="l"/>
        <c:majorGridlines>
          <c:spPr>
            <a:ln>
              <a:solidFill>
                <a:schemeClr val="bg1">
                  <a:lumMod val="75000"/>
                </a:schemeClr>
              </a:solidFill>
              <a:prstDash val="sysDash"/>
            </a:ln>
          </c:spPr>
        </c:majorGridlines>
        <c:numFmt formatCode="General" sourceLinked="1"/>
        <c:majorTickMark val="none"/>
        <c:minorTickMark val="none"/>
        <c:tickLblPos val="nextTo"/>
        <c:txPr>
          <a:bodyPr/>
          <a:lstStyle/>
          <a:p>
            <a:pPr>
              <a:defRPr sz="800"/>
            </a:pPr>
            <a:endParaRPr lang="es-AR"/>
          </a:p>
        </c:txPr>
        <c:crossAx val="18910156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s-AR" sz="1000"/>
              <a:t>Relación insumo</a:t>
            </a:r>
            <a:r>
              <a:rPr lang="es-AR" sz="1000" baseline="0"/>
              <a:t> producto para TRIGO</a:t>
            </a:r>
          </a:p>
          <a:p>
            <a:pPr>
              <a:defRPr sz="1000"/>
            </a:pPr>
            <a:r>
              <a:rPr lang="es-AR" sz="1000" baseline="0"/>
              <a:t>-En qq por cantidad de insumo-</a:t>
            </a:r>
          </a:p>
        </c:rich>
      </c:tx>
      <c:layout>
        <c:manualLayout>
          <c:xMode val="edge"/>
          <c:yMode val="edge"/>
          <c:x val="0.28836111111111112"/>
          <c:y val="0"/>
        </c:manualLayout>
      </c:layout>
      <c:overlay val="0"/>
    </c:title>
    <c:autoTitleDeleted val="0"/>
    <c:plotArea>
      <c:layout>
        <c:manualLayout>
          <c:layoutTarget val="inner"/>
          <c:xMode val="edge"/>
          <c:yMode val="edge"/>
          <c:x val="6.1197069116360456E-2"/>
          <c:y val="0.17874166302825914"/>
          <c:w val="0.7737515068917884"/>
          <c:h val="0.58523509131148277"/>
        </c:manualLayout>
      </c:layout>
      <c:barChart>
        <c:barDir val="col"/>
        <c:grouping val="clustered"/>
        <c:varyColors val="0"/>
        <c:ser>
          <c:idx val="0"/>
          <c:order val="0"/>
          <c:tx>
            <c:strRef>
              <c:f>'Hoja resumen'!$E$2:$E$3</c:f>
              <c:strCache>
                <c:ptCount val="1"/>
                <c:pt idx="0">
                  <c:v>Marzo 2016</c:v>
                </c:pt>
              </c:strCache>
            </c:strRef>
          </c:tx>
          <c:spPr>
            <a:solidFill>
              <a:srgbClr val="9BBB59">
                <a:lumMod val="75000"/>
              </a:srgbClr>
            </a:solidFill>
            <a:ln>
              <a:noFill/>
            </a:ln>
          </c:spPr>
          <c:invertIfNegative val="0"/>
          <c:dLbls>
            <c:dLbl>
              <c:idx val="0"/>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9.8819265399367941E-3"/>
                </c:manualLayout>
              </c:layout>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tx1"/>
                    </a:solidFill>
                  </a:defRPr>
                </a:pPr>
                <a:endParaRPr lang="es-A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'Hoja resumen'!$C$4:$D$8</c:f>
              <c:multiLvlStrCache>
                <c:ptCount val="5"/>
                <c:lvl>
                  <c:pt idx="0">
                    <c:v>qq/tn</c:v>
                  </c:pt>
                  <c:pt idx="1">
                    <c:v>qq/100 kg</c:v>
                  </c:pt>
                  <c:pt idx="2">
                    <c:v>qq/tn</c:v>
                  </c:pt>
                  <c:pt idx="3">
                    <c:v>qq/100 lt</c:v>
                  </c:pt>
                  <c:pt idx="4">
                    <c:v>qq/ 500 lt</c:v>
                  </c:pt>
                </c:lvl>
                <c:lvl>
                  <c:pt idx="0">
                    <c:v>Urea</c:v>
                  </c:pt>
                  <c:pt idx="1">
                    <c:v>Semilla</c:v>
                  </c:pt>
                  <c:pt idx="2">
                    <c:v>Fosfato Diamónico</c:v>
                  </c:pt>
                  <c:pt idx="3">
                    <c:v>Glifosato </c:v>
                  </c:pt>
                  <c:pt idx="4">
                    <c:v>Gasoil</c:v>
                  </c:pt>
                </c:lvl>
              </c:multiLvlStrCache>
            </c:multiLvlStrRef>
          </c:cat>
          <c:val>
            <c:numRef>
              <c:f>'Hoja resumen'!$E$4:$E$8</c:f>
              <c:numCache>
                <c:formatCode>0.0</c:formatCode>
                <c:ptCount val="5"/>
                <c:pt idx="0">
                  <c:v>29.510579345088157</c:v>
                </c:pt>
                <c:pt idx="1">
                  <c:v>2.6148614609571785</c:v>
                </c:pt>
                <c:pt idx="2">
                  <c:v>41.837783375314856</c:v>
                </c:pt>
                <c:pt idx="3">
                  <c:v>21.665994962216622</c:v>
                </c:pt>
                <c:pt idx="4">
                  <c:v>34.366750629722922</c:v>
                </c:pt>
              </c:numCache>
            </c:numRef>
          </c:val>
        </c:ser>
        <c:ser>
          <c:idx val="1"/>
          <c:order val="1"/>
          <c:tx>
            <c:strRef>
              <c:f>'Hoja resumen'!$G$2:$G$3</c:f>
              <c:strCache>
                <c:ptCount val="1"/>
                <c:pt idx="0">
                  <c:v>Marzo 2017</c:v>
                </c:pt>
              </c:strCache>
            </c:strRef>
          </c:tx>
          <c:spPr>
            <a:pattFill prst="narHorz">
              <a:fgClr>
                <a:schemeClr val="accent6">
                  <a:lumMod val="50000"/>
                </a:schemeClr>
              </a:fgClr>
              <a:bgClr>
                <a:schemeClr val="bg1"/>
              </a:bgClr>
            </a:pattFill>
            <a:ln>
              <a:noFill/>
            </a:ln>
          </c:spPr>
          <c:invertIfNegative val="0"/>
          <c:dLbls>
            <c:dLbl>
              <c:idx val="0"/>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4.9905837116385717E-3"/>
                  <c:y val="0"/>
                </c:manualLayout>
              </c:layout>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s-AR"/>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'Hoja resumen'!$C$4:$D$8</c:f>
              <c:multiLvlStrCache>
                <c:ptCount val="5"/>
                <c:lvl>
                  <c:pt idx="0">
                    <c:v>qq/tn</c:v>
                  </c:pt>
                  <c:pt idx="1">
                    <c:v>qq/100 kg</c:v>
                  </c:pt>
                  <c:pt idx="2">
                    <c:v>qq/tn</c:v>
                  </c:pt>
                  <c:pt idx="3">
                    <c:v>qq/100 lt</c:v>
                  </c:pt>
                  <c:pt idx="4">
                    <c:v>qq/ 500 lt</c:v>
                  </c:pt>
                </c:lvl>
                <c:lvl>
                  <c:pt idx="0">
                    <c:v>Urea</c:v>
                  </c:pt>
                  <c:pt idx="1">
                    <c:v>Semilla</c:v>
                  </c:pt>
                  <c:pt idx="2">
                    <c:v>Fosfato Diamónico</c:v>
                  </c:pt>
                  <c:pt idx="3">
                    <c:v>Glifosato </c:v>
                  </c:pt>
                  <c:pt idx="4">
                    <c:v>Gasoil</c:v>
                  </c:pt>
                </c:lvl>
              </c:multiLvlStrCache>
            </c:multiLvlStrRef>
          </c:cat>
          <c:val>
            <c:numRef>
              <c:f>'Hoja resumen'!$G$4:$G$8</c:f>
              <c:numCache>
                <c:formatCode>0.0</c:formatCode>
                <c:ptCount val="5"/>
                <c:pt idx="0">
                  <c:v>25.081304347826087</c:v>
                </c:pt>
                <c:pt idx="1">
                  <c:v>2.4469565217391307</c:v>
                </c:pt>
                <c:pt idx="2">
                  <c:v>30.586956521739133</c:v>
                </c:pt>
                <c:pt idx="3">
                  <c:v>15.293478260869566</c:v>
                </c:pt>
                <c:pt idx="4">
                  <c:v>27.528260869565216</c:v>
                </c:pt>
              </c:numCache>
            </c:numRef>
          </c:val>
        </c:ser>
        <c:dLbls>
          <c:showLegendKey val="0"/>
          <c:showVal val="0"/>
          <c:showCatName val="0"/>
          <c:showSerName val="0"/>
          <c:showPercent val="0"/>
          <c:showBubbleSize val="0"/>
        </c:dLbls>
        <c:gapWidth val="150"/>
        <c:axId val="189018112"/>
        <c:axId val="189019648"/>
      </c:barChart>
      <c:catAx>
        <c:axId val="189018112"/>
        <c:scaling>
          <c:orientation val="minMax"/>
        </c:scaling>
        <c:delete val="0"/>
        <c:axPos val="b"/>
        <c:numFmt formatCode="General" sourceLinked="0"/>
        <c:majorTickMark val="none"/>
        <c:minorTickMark val="none"/>
        <c:tickLblPos val="nextTo"/>
        <c:txPr>
          <a:bodyPr/>
          <a:lstStyle/>
          <a:p>
            <a:pPr>
              <a:defRPr sz="800">
                <a:solidFill>
                  <a:sysClr val="windowText" lastClr="000000"/>
                </a:solidFill>
              </a:defRPr>
            </a:pPr>
            <a:endParaRPr lang="es-AR"/>
          </a:p>
        </c:txPr>
        <c:crossAx val="189019648"/>
        <c:crosses val="autoZero"/>
        <c:auto val="1"/>
        <c:lblAlgn val="ctr"/>
        <c:lblOffset val="100"/>
        <c:noMultiLvlLbl val="0"/>
      </c:catAx>
      <c:valAx>
        <c:axId val="189019648"/>
        <c:scaling>
          <c:orientation val="minMax"/>
        </c:scaling>
        <c:delete val="0"/>
        <c:axPos val="l"/>
        <c:majorGridlines>
          <c:spPr>
            <a:ln>
              <a:solidFill>
                <a:schemeClr val="bg1">
                  <a:lumMod val="85000"/>
                </a:schemeClr>
              </a:solidFill>
              <a:prstDash val="dash"/>
            </a:ln>
          </c:spPr>
        </c:majorGridlines>
        <c:numFmt formatCode="0" sourceLinked="0"/>
        <c:majorTickMark val="none"/>
        <c:minorTickMark val="none"/>
        <c:tickLblPos val="nextTo"/>
        <c:txPr>
          <a:bodyPr/>
          <a:lstStyle/>
          <a:p>
            <a:pPr>
              <a:defRPr sz="800">
                <a:solidFill>
                  <a:sysClr val="windowText" lastClr="000000"/>
                </a:solidFill>
              </a:defRPr>
            </a:pPr>
            <a:endParaRPr lang="es-AR"/>
          </a:p>
        </c:txPr>
        <c:crossAx val="189018112"/>
        <c:crosses val="autoZero"/>
        <c:crossBetween val="between"/>
      </c:valAx>
    </c:plotArea>
    <c:legend>
      <c:legendPos val="r"/>
      <c:layout>
        <c:manualLayout>
          <c:xMode val="edge"/>
          <c:yMode val="edge"/>
          <c:x val="0.82830211107585394"/>
          <c:y val="0.26600284771715788"/>
          <c:w val="0.16971839218787607"/>
          <c:h val="0.25661393980890729"/>
        </c:manualLayout>
      </c:layout>
      <c:overlay val="0"/>
      <c:txPr>
        <a:bodyPr/>
        <a:lstStyle/>
        <a:p>
          <a:pPr>
            <a:defRPr sz="800">
              <a:solidFill>
                <a:sysClr val="windowText" lastClr="000000"/>
              </a:solidFill>
            </a:defRPr>
          </a:pPr>
          <a:endParaRPr lang="es-AR"/>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s-AR" sz="1000"/>
              <a:t>Márgenes de trigo 2017/18 en campo propio  y rendimiento histórico por</a:t>
            </a:r>
            <a:r>
              <a:rPr lang="es-AR" sz="1000" baseline="0"/>
              <a:t> departamento</a:t>
            </a:r>
            <a:endParaRPr lang="es-AR" sz="1000"/>
          </a:p>
        </c:rich>
      </c:tx>
      <c:layout>
        <c:manualLayout>
          <c:xMode val="edge"/>
          <c:yMode val="edge"/>
          <c:x val="0.15456116057201111"/>
          <c:y val="2.1190618307611081E-3"/>
        </c:manualLayout>
      </c:layout>
      <c:overlay val="0"/>
    </c:title>
    <c:autoTitleDeleted val="0"/>
    <c:plotArea>
      <c:layout>
        <c:manualLayout>
          <c:layoutTarget val="inner"/>
          <c:xMode val="edge"/>
          <c:yMode val="edge"/>
          <c:x val="0.1014170246117744"/>
          <c:y val="0.16939298184723761"/>
          <c:w val="0.803023503297842"/>
          <c:h val="0.51026071239270443"/>
        </c:manualLayout>
      </c:layout>
      <c:barChart>
        <c:barDir val="col"/>
        <c:grouping val="clustered"/>
        <c:varyColors val="0"/>
        <c:ser>
          <c:idx val="0"/>
          <c:order val="0"/>
          <c:tx>
            <c:strRef>
              <c:f>Hoja1!$A$2</c:f>
              <c:strCache>
                <c:ptCount val="1"/>
                <c:pt idx="0">
                  <c:v>Margen Bruto en campo propio</c:v>
                </c:pt>
              </c:strCache>
            </c:strRef>
          </c:tx>
          <c:spPr>
            <a:solidFill>
              <a:schemeClr val="accent3">
                <a:lumMod val="75000"/>
              </a:schemeClr>
            </a:solidFill>
          </c:spPr>
          <c:invertIfNegative val="0"/>
          <c:cat>
            <c:strRef>
              <c:f>Hoja1!$B$1:$R$1</c:f>
              <c:strCache>
                <c:ptCount val="17"/>
                <c:pt idx="0">
                  <c:v>Calamuchita</c:v>
                </c:pt>
                <c:pt idx="1">
                  <c:v>Colón</c:v>
                </c:pt>
                <c:pt idx="2">
                  <c:v>Gral. Roca</c:v>
                </c:pt>
                <c:pt idx="3">
                  <c:v>Gral. San Martín</c:v>
                </c:pt>
                <c:pt idx="4">
                  <c:v>Juárez Celman</c:v>
                </c:pt>
                <c:pt idx="5">
                  <c:v>Marcos Juárez</c:v>
                </c:pt>
                <c:pt idx="6">
                  <c:v>Pte. R. Sáenz Peña</c:v>
                </c:pt>
                <c:pt idx="7">
                  <c:v>Río Cuarto</c:v>
                </c:pt>
                <c:pt idx="8">
                  <c:v>Río Primero</c:v>
                </c:pt>
                <c:pt idx="9">
                  <c:v>Río Seco</c:v>
                </c:pt>
                <c:pt idx="10">
                  <c:v>Río Segundo</c:v>
                </c:pt>
                <c:pt idx="11">
                  <c:v>San Justo</c:v>
                </c:pt>
                <c:pt idx="12">
                  <c:v>Santa María</c:v>
                </c:pt>
                <c:pt idx="13">
                  <c:v>Tercero Arriba</c:v>
                </c:pt>
                <c:pt idx="14">
                  <c:v>Totoral</c:v>
                </c:pt>
                <c:pt idx="15">
                  <c:v>Tulumba</c:v>
                </c:pt>
                <c:pt idx="16">
                  <c:v>Unión</c:v>
                </c:pt>
              </c:strCache>
            </c:strRef>
          </c:cat>
          <c:val>
            <c:numRef>
              <c:f>Hoja1!$B$2:$R$2</c:f>
              <c:numCache>
                <c:formatCode>0.0</c:formatCode>
                <c:ptCount val="17"/>
                <c:pt idx="0">
                  <c:v>-44.875753288511703</c:v>
                </c:pt>
                <c:pt idx="1">
                  <c:v>-6.7055595274413236</c:v>
                </c:pt>
                <c:pt idx="2">
                  <c:v>-27.038386367383396</c:v>
                </c:pt>
                <c:pt idx="3">
                  <c:v>41.820952803947932</c:v>
                </c:pt>
                <c:pt idx="4">
                  <c:v>63.584419241812554</c:v>
                </c:pt>
                <c:pt idx="5">
                  <c:v>161.61289379991018</c:v>
                </c:pt>
                <c:pt idx="6">
                  <c:v>61.802044187228944</c:v>
                </c:pt>
                <c:pt idx="7">
                  <c:v>-33.422396120831479</c:v>
                </c:pt>
                <c:pt idx="8">
                  <c:v>-14.337342940032897</c:v>
                </c:pt>
                <c:pt idx="9">
                  <c:v>-58.97739826529093</c:v>
                </c:pt>
                <c:pt idx="10">
                  <c:v>2.8884641483475662</c:v>
                </c:pt>
                <c:pt idx="11">
                  <c:v>18.714709777179621</c:v>
                </c:pt>
                <c:pt idx="12">
                  <c:v>-70.734782940032915</c:v>
                </c:pt>
                <c:pt idx="13">
                  <c:v>-23.26606995065049</c:v>
                </c:pt>
                <c:pt idx="14">
                  <c:v>15.138084725586964</c:v>
                </c:pt>
                <c:pt idx="15">
                  <c:v>-4.260696234484783</c:v>
                </c:pt>
                <c:pt idx="16">
                  <c:v>148.74705429938683</c:v>
                </c:pt>
              </c:numCache>
            </c:numRef>
          </c:val>
        </c:ser>
        <c:dLbls>
          <c:showLegendKey val="0"/>
          <c:showVal val="0"/>
          <c:showCatName val="0"/>
          <c:showSerName val="0"/>
          <c:showPercent val="0"/>
          <c:showBubbleSize val="0"/>
        </c:dLbls>
        <c:gapWidth val="150"/>
        <c:axId val="188123776"/>
        <c:axId val="189092608"/>
      </c:barChart>
      <c:lineChart>
        <c:grouping val="standard"/>
        <c:varyColors val="0"/>
        <c:ser>
          <c:idx val="1"/>
          <c:order val="1"/>
          <c:tx>
            <c:strRef>
              <c:f>Hoja1!$A$4</c:f>
              <c:strCache>
                <c:ptCount val="1"/>
                <c:pt idx="0">
                  <c:v>Rendimiento histórico (Eje derecho)</c:v>
                </c:pt>
              </c:strCache>
            </c:strRef>
          </c:tx>
          <c:spPr>
            <a:ln>
              <a:prstDash val="sysDash"/>
            </a:ln>
          </c:spPr>
          <c:marker>
            <c:spPr>
              <a:solidFill>
                <a:schemeClr val="accent3">
                  <a:lumMod val="60000"/>
                  <a:lumOff val="40000"/>
                </a:schemeClr>
              </a:solidFill>
              <a:ln>
                <a:prstDash val="sysDash"/>
              </a:ln>
            </c:spPr>
          </c:marker>
          <c:cat>
            <c:strRef>
              <c:f>Hoja1!$B$1:$R$1</c:f>
              <c:strCache>
                <c:ptCount val="17"/>
                <c:pt idx="0">
                  <c:v>Calamuchita</c:v>
                </c:pt>
                <c:pt idx="1">
                  <c:v>Colón</c:v>
                </c:pt>
                <c:pt idx="2">
                  <c:v>Gral. Roca</c:v>
                </c:pt>
                <c:pt idx="3">
                  <c:v>Gral. San Martín</c:v>
                </c:pt>
                <c:pt idx="4">
                  <c:v>Juárez Celman</c:v>
                </c:pt>
                <c:pt idx="5">
                  <c:v>Marcos Juárez</c:v>
                </c:pt>
                <c:pt idx="6">
                  <c:v>Pte. R. Sáenz Peña</c:v>
                </c:pt>
                <c:pt idx="7">
                  <c:v>Río Cuarto</c:v>
                </c:pt>
                <c:pt idx="8">
                  <c:v>Río Primero</c:v>
                </c:pt>
                <c:pt idx="9">
                  <c:v>Río Seco</c:v>
                </c:pt>
                <c:pt idx="10">
                  <c:v>Río Segundo</c:v>
                </c:pt>
                <c:pt idx="11">
                  <c:v>San Justo</c:v>
                </c:pt>
                <c:pt idx="12">
                  <c:v>Santa María</c:v>
                </c:pt>
                <c:pt idx="13">
                  <c:v>Tercero Arriba</c:v>
                </c:pt>
                <c:pt idx="14">
                  <c:v>Totoral</c:v>
                </c:pt>
                <c:pt idx="15">
                  <c:v>Tulumba</c:v>
                </c:pt>
                <c:pt idx="16">
                  <c:v>Unión</c:v>
                </c:pt>
              </c:strCache>
            </c:strRef>
          </c:cat>
          <c:val>
            <c:numRef>
              <c:f>Hoja1!$B$4:$R$4</c:f>
              <c:numCache>
                <c:formatCode>0</c:formatCode>
                <c:ptCount val="17"/>
                <c:pt idx="0">
                  <c:v>17.074913426948381</c:v>
                </c:pt>
                <c:pt idx="1">
                  <c:v>22.835364884531931</c:v>
                </c:pt>
                <c:pt idx="2">
                  <c:v>22.917433599891048</c:v>
                </c:pt>
                <c:pt idx="3">
                  <c:v>25.470788529944425</c:v>
                </c:pt>
                <c:pt idx="4">
                  <c:v>25.565601944758278</c:v>
                </c:pt>
                <c:pt idx="5">
                  <c:v>33.561627132919597</c:v>
                </c:pt>
                <c:pt idx="6">
                  <c:v>28.497323785588605</c:v>
                </c:pt>
                <c:pt idx="7">
                  <c:v>22.132662722027828</c:v>
                </c:pt>
                <c:pt idx="8">
                  <c:v>20.473405508266559</c:v>
                </c:pt>
                <c:pt idx="9">
                  <c:v>16.164448542365069</c:v>
                </c:pt>
                <c:pt idx="10">
                  <c:v>22.269088127839844</c:v>
                </c:pt>
                <c:pt idx="11">
                  <c:v>22.171897558760957</c:v>
                </c:pt>
                <c:pt idx="12">
                  <c:v>17.655538082350372</c:v>
                </c:pt>
                <c:pt idx="13">
                  <c:v>20.494022133858202</c:v>
                </c:pt>
                <c:pt idx="14">
                  <c:v>24.521251895221418</c:v>
                </c:pt>
                <c:pt idx="15">
                  <c:v>17.766504638742006</c:v>
                </c:pt>
                <c:pt idx="16">
                  <c:v>31.480099737534108</c:v>
                </c:pt>
              </c:numCache>
            </c:numRef>
          </c:val>
          <c:smooth val="0"/>
        </c:ser>
        <c:dLbls>
          <c:showLegendKey val="0"/>
          <c:showVal val="0"/>
          <c:showCatName val="0"/>
          <c:showSerName val="0"/>
          <c:showPercent val="0"/>
          <c:showBubbleSize val="0"/>
        </c:dLbls>
        <c:marker val="1"/>
        <c:smooth val="0"/>
        <c:axId val="189268736"/>
        <c:axId val="189094528"/>
      </c:lineChart>
      <c:catAx>
        <c:axId val="188123776"/>
        <c:scaling>
          <c:orientation val="minMax"/>
        </c:scaling>
        <c:delete val="0"/>
        <c:axPos val="b"/>
        <c:majorTickMark val="none"/>
        <c:minorTickMark val="none"/>
        <c:tickLblPos val="low"/>
        <c:txPr>
          <a:bodyPr/>
          <a:lstStyle/>
          <a:p>
            <a:pPr>
              <a:defRPr sz="700"/>
            </a:pPr>
            <a:endParaRPr lang="es-AR"/>
          </a:p>
        </c:txPr>
        <c:crossAx val="189092608"/>
        <c:crosses val="autoZero"/>
        <c:auto val="1"/>
        <c:lblAlgn val="ctr"/>
        <c:lblOffset val="100"/>
        <c:noMultiLvlLbl val="0"/>
      </c:catAx>
      <c:valAx>
        <c:axId val="189092608"/>
        <c:scaling>
          <c:orientation val="minMax"/>
        </c:scaling>
        <c:delete val="0"/>
        <c:axPos val="l"/>
        <c:majorGridlines>
          <c:spPr>
            <a:ln>
              <a:solidFill>
                <a:schemeClr val="bg1">
                  <a:lumMod val="75000"/>
                </a:schemeClr>
              </a:solidFill>
              <a:prstDash val="sysDash"/>
            </a:ln>
          </c:spPr>
        </c:majorGridlines>
        <c:title>
          <c:tx>
            <c:rich>
              <a:bodyPr rot="-5400000" vert="horz"/>
              <a:lstStyle/>
              <a:p>
                <a:pPr>
                  <a:defRPr sz="800"/>
                </a:pPr>
                <a:r>
                  <a:rPr lang="es-AR" sz="800"/>
                  <a:t>USD/ha</a:t>
                </a:r>
              </a:p>
            </c:rich>
          </c:tx>
          <c:overlay val="0"/>
        </c:title>
        <c:numFmt formatCode="0" sourceLinked="0"/>
        <c:majorTickMark val="none"/>
        <c:minorTickMark val="none"/>
        <c:tickLblPos val="nextTo"/>
        <c:txPr>
          <a:bodyPr/>
          <a:lstStyle/>
          <a:p>
            <a:pPr>
              <a:defRPr sz="800"/>
            </a:pPr>
            <a:endParaRPr lang="es-AR"/>
          </a:p>
        </c:txPr>
        <c:crossAx val="188123776"/>
        <c:crosses val="autoZero"/>
        <c:crossBetween val="between"/>
      </c:valAx>
      <c:valAx>
        <c:axId val="189094528"/>
        <c:scaling>
          <c:orientation val="minMax"/>
        </c:scaling>
        <c:delete val="0"/>
        <c:axPos val="r"/>
        <c:title>
          <c:tx>
            <c:rich>
              <a:bodyPr rot="-5400000" vert="horz"/>
              <a:lstStyle/>
              <a:p>
                <a:pPr>
                  <a:defRPr sz="800"/>
                </a:pPr>
                <a:r>
                  <a:rPr lang="es-AR" sz="800"/>
                  <a:t>Rendimiento</a:t>
                </a:r>
              </a:p>
            </c:rich>
          </c:tx>
          <c:overlay val="0"/>
        </c:title>
        <c:numFmt formatCode="0" sourceLinked="1"/>
        <c:majorTickMark val="out"/>
        <c:minorTickMark val="none"/>
        <c:tickLblPos val="nextTo"/>
        <c:txPr>
          <a:bodyPr/>
          <a:lstStyle/>
          <a:p>
            <a:pPr>
              <a:defRPr sz="800"/>
            </a:pPr>
            <a:endParaRPr lang="es-AR"/>
          </a:p>
        </c:txPr>
        <c:crossAx val="189268736"/>
        <c:crosses val="max"/>
        <c:crossBetween val="between"/>
      </c:valAx>
      <c:catAx>
        <c:axId val="189268736"/>
        <c:scaling>
          <c:orientation val="minMax"/>
        </c:scaling>
        <c:delete val="1"/>
        <c:axPos val="b"/>
        <c:majorTickMark val="out"/>
        <c:minorTickMark val="none"/>
        <c:tickLblPos val="nextTo"/>
        <c:crossAx val="189094528"/>
        <c:crosses val="autoZero"/>
        <c:auto val="1"/>
        <c:lblAlgn val="ctr"/>
        <c:lblOffset val="100"/>
        <c:noMultiLvlLbl val="0"/>
      </c:catAx>
    </c:plotArea>
    <c:legend>
      <c:legendPos val="r"/>
      <c:layout>
        <c:manualLayout>
          <c:xMode val="edge"/>
          <c:yMode val="edge"/>
          <c:x val="1.7324360083150345E-2"/>
          <c:y val="0.92076338837956651"/>
          <c:w val="0.92641086764519254"/>
          <c:h val="7.7017723810585151E-2"/>
        </c:manualLayout>
      </c:layout>
      <c:overlay val="0"/>
      <c:txPr>
        <a:bodyPr/>
        <a:lstStyle/>
        <a:p>
          <a:pPr>
            <a:defRPr sz="800"/>
          </a:pPr>
          <a:endParaRPr lang="es-AR"/>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758</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gagusto</dc:creator>
  <cp:lastModifiedBy>Juan Vaca</cp:lastModifiedBy>
  <cp:revision>2</cp:revision>
  <dcterms:created xsi:type="dcterms:W3CDTF">2017-04-24T12:16:00Z</dcterms:created>
  <dcterms:modified xsi:type="dcterms:W3CDTF">2017-04-24T12:16:00Z</dcterms:modified>
</cp:coreProperties>
</file>